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FA" w:rsidRDefault="007D7AFA" w:rsidP="00560326">
      <w:pPr>
        <w:spacing w:line="360" w:lineRule="auto"/>
        <w:jc w:val="both"/>
        <w:rPr>
          <w:b/>
          <w:sz w:val="14"/>
          <w:szCs w:val="14"/>
        </w:rPr>
      </w:pPr>
      <w:r>
        <w:rPr>
          <w:noProof/>
          <w:lang w:eastAsia="bg-BG"/>
        </w:rPr>
        <w:pict>
          <v:group id="_x0000_s1026" style="position:absolute;left:0;text-align:left;margin-left:88.8pt;margin-top:-7.4pt;width:371.25pt;height:63pt;z-index:251658240" coordorigin="2910,420" coordsize="7425,1260">
            <v:shapetype id="_x0000_t202" coordsize="21600,21600" o:spt="202" path="m,l,21600r21600,l21600,xe">
              <v:stroke joinstyle="miter"/>
              <v:path gradientshapeok="t" o:connecttype="rect"/>
            </v:shapetype>
            <v:shape id="_x0000_s1027" type="#_x0000_t202" style="position:absolute;left:7305;top:630;width:3030;height:900" strokecolor="white">
              <v:textbox style="mso-next-textbox:#_x0000_s1027">
                <w:txbxContent>
                  <w:p w:rsidR="007D7AFA" w:rsidRPr="009618F4" w:rsidRDefault="007D7AFA" w:rsidP="00560326">
                    <w:pPr>
                      <w:jc w:val="center"/>
                      <w:rPr>
                        <w:sz w:val="20"/>
                        <w:szCs w:val="20"/>
                      </w:rPr>
                    </w:pPr>
                    <w:r w:rsidRPr="009618F4">
                      <w:rPr>
                        <w:b/>
                        <w:sz w:val="20"/>
                        <w:szCs w:val="20"/>
                      </w:rPr>
                      <w:t>АСОЦИАЦИЯ НА ИНДУСТРИАЛНИЯ КАПИТАЛ В БЪЛГАРИЯ</w:t>
                    </w:r>
                  </w:p>
                </w:txbxContent>
              </v:textbox>
            </v:shape>
            <v:shape id="_x0000_s1028" type="#_x0000_t202" style="position:absolute;left:2910;top:420;width:2925;height:1260" strokecolor="white">
              <v:textbox>
                <w:txbxContent>
                  <w:p w:rsidR="007D7AFA" w:rsidRPr="009618F4" w:rsidRDefault="007D7AFA" w:rsidP="00560326">
                    <w:pPr>
                      <w:spacing w:before="120"/>
                      <w:jc w:val="center"/>
                      <w:rPr>
                        <w:rStyle w:val="Strong"/>
                        <w:sz w:val="20"/>
                        <w:szCs w:val="20"/>
                      </w:rPr>
                    </w:pPr>
                    <w:r w:rsidRPr="009618F4">
                      <w:rPr>
                        <w:rStyle w:val="Strong"/>
                        <w:sz w:val="20"/>
                        <w:szCs w:val="20"/>
                      </w:rPr>
                      <w:t>БЪЛГАРСКА СТОПАНСКА КАМАРА</w:t>
                    </w:r>
                  </w:p>
                  <w:p w:rsidR="007D7AFA" w:rsidRPr="009618F4" w:rsidRDefault="007D7AFA" w:rsidP="00560326">
                    <w:pPr>
                      <w:jc w:val="center"/>
                      <w:rPr>
                        <w:sz w:val="20"/>
                        <w:szCs w:val="20"/>
                      </w:rPr>
                    </w:pPr>
                    <w:r w:rsidRPr="009618F4">
                      <w:rPr>
                        <w:rStyle w:val="Strong"/>
                        <w:sz w:val="20"/>
                        <w:szCs w:val="20"/>
                      </w:rPr>
                      <w:t>СЪЮЗ НА БЪЛГАРСКИЯ</w:t>
                    </w:r>
                    <w:r w:rsidRPr="009618F4">
                      <w:rPr>
                        <w:sz w:val="20"/>
                        <w:szCs w:val="20"/>
                      </w:rPr>
                      <w:t xml:space="preserve"> </w:t>
                    </w:r>
                    <w:r w:rsidRPr="009618F4">
                      <w:rPr>
                        <w:rStyle w:val="Strong"/>
                        <w:sz w:val="20"/>
                        <w:szCs w:val="20"/>
                      </w:rPr>
                      <w:t>БИЗНЕС</w:t>
                    </w:r>
                  </w:p>
                </w:txbxContent>
              </v:textbox>
            </v:shape>
          </v:group>
        </w:pict>
      </w:r>
      <w:r>
        <w:rPr>
          <w:rFonts w:ascii="Times New Roman" w:hAnsi="Times New Roman"/>
          <w:b/>
          <w:caps/>
          <w:sz w:val="26"/>
          <w:szCs w:val="26"/>
        </w:rPr>
        <w:tab/>
      </w:r>
      <w:r w:rsidRPr="00941F89">
        <w:rPr>
          <w:b/>
          <w:noProof/>
          <w:sz w:val="13"/>
          <w:lan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9.5pt;height:51.75pt;visibility:visible">
            <v:imagedata r:id="rId7" o:title=""/>
          </v:shape>
        </w:pict>
      </w:r>
      <w:r>
        <w:rPr>
          <w:rFonts w:ascii="Times New Roman" w:hAnsi="Times New Roman"/>
          <w:b/>
          <w:caps/>
          <w:sz w:val="26"/>
          <w:szCs w:val="26"/>
        </w:rPr>
        <w:tab/>
      </w:r>
      <w:r>
        <w:rPr>
          <w:rFonts w:ascii="Times New Roman" w:hAnsi="Times New Roman"/>
          <w:b/>
          <w:caps/>
          <w:sz w:val="26"/>
          <w:szCs w:val="26"/>
        </w:rPr>
        <w:tab/>
      </w:r>
      <w:r>
        <w:rPr>
          <w:rFonts w:ascii="Times New Roman" w:hAnsi="Times New Roman"/>
          <w:b/>
          <w:caps/>
          <w:sz w:val="26"/>
          <w:szCs w:val="26"/>
        </w:rPr>
        <w:tab/>
      </w:r>
      <w:r>
        <w:rPr>
          <w:rFonts w:ascii="Times New Roman" w:hAnsi="Times New Roman"/>
          <w:b/>
          <w:caps/>
          <w:sz w:val="26"/>
          <w:szCs w:val="26"/>
        </w:rPr>
        <w:tab/>
      </w:r>
      <w:r>
        <w:rPr>
          <w:rFonts w:ascii="Times New Roman" w:hAnsi="Times New Roman"/>
          <w:b/>
          <w:caps/>
          <w:sz w:val="26"/>
          <w:szCs w:val="26"/>
        </w:rPr>
        <w:tab/>
      </w:r>
      <w:hyperlink r:id="rId8" w:tgtFrame="_top" w:history="1">
        <w:r w:rsidRPr="00941F89">
          <w:rPr>
            <w:noProof/>
            <w:color w:val="0000FF"/>
            <w:sz w:val="13"/>
            <w:lang w:eastAsia="bg-BG"/>
          </w:rPr>
          <w:pict>
            <v:shape id="Picture 1" o:spid="_x0000_i1026" type="#_x0000_t75" href="http://www.bica-bg.org/index.ht" style="width:52.5pt;height:49.5pt;visibility:visible" o:button="t">
              <v:fill o:detectmouseclick="t"/>
              <v:imagedata r:id="rId9" o:title=""/>
            </v:shape>
          </w:pict>
        </w:r>
      </w:hyperlink>
      <w:r>
        <w:rPr>
          <w:rFonts w:ascii="Times New Roman" w:hAnsi="Times New Roman"/>
          <w:b/>
          <w:caps/>
          <w:sz w:val="26"/>
          <w:szCs w:val="26"/>
        </w:rPr>
        <w:tab/>
      </w:r>
      <w:r>
        <w:rPr>
          <w:rFonts w:ascii="Times New Roman" w:hAnsi="Times New Roman"/>
          <w:b/>
          <w:caps/>
          <w:sz w:val="26"/>
          <w:szCs w:val="26"/>
        </w:rPr>
        <w:tab/>
      </w:r>
      <w:r>
        <w:rPr>
          <w:rFonts w:ascii="Times New Roman" w:hAnsi="Times New Roman"/>
          <w:b/>
          <w:caps/>
          <w:sz w:val="26"/>
          <w:szCs w:val="26"/>
        </w:rPr>
        <w:tab/>
      </w:r>
      <w:r>
        <w:rPr>
          <w:rFonts w:ascii="Times New Roman" w:hAnsi="Times New Roman"/>
          <w:b/>
          <w:caps/>
          <w:sz w:val="26"/>
          <w:szCs w:val="26"/>
        </w:rPr>
        <w:tab/>
        <w:t xml:space="preserve">  </w:t>
      </w:r>
      <w:r>
        <w:rPr>
          <w:b/>
          <w:sz w:val="14"/>
          <w:szCs w:val="14"/>
        </w:rPr>
        <w:tab/>
      </w:r>
      <w:r>
        <w:rPr>
          <w:b/>
          <w:sz w:val="14"/>
          <w:szCs w:val="14"/>
        </w:rPr>
        <w:tab/>
      </w:r>
      <w:r>
        <w:rPr>
          <w:b/>
          <w:sz w:val="14"/>
          <w:szCs w:val="14"/>
        </w:rPr>
        <w:tab/>
      </w:r>
      <w:r>
        <w:rPr>
          <w:b/>
          <w:sz w:val="14"/>
          <w:szCs w:val="14"/>
        </w:rPr>
        <w:tab/>
      </w:r>
    </w:p>
    <w:p w:rsidR="007D7AFA" w:rsidRDefault="007D7AFA" w:rsidP="00560326">
      <w:pPr>
        <w:spacing w:line="360" w:lineRule="auto"/>
        <w:jc w:val="both"/>
        <w:rPr>
          <w:b/>
          <w:sz w:val="14"/>
          <w:szCs w:val="14"/>
        </w:rPr>
      </w:pPr>
    </w:p>
    <w:p w:rsidR="007D7AFA" w:rsidRPr="00662A4E" w:rsidRDefault="007D7AFA" w:rsidP="00662A4E">
      <w:pPr>
        <w:spacing w:line="360" w:lineRule="auto"/>
        <w:jc w:val="center"/>
        <w:rPr>
          <w:rFonts w:ascii="Times New Roman" w:hAnsi="Times New Roman"/>
          <w:b/>
          <w:caps/>
          <w:sz w:val="26"/>
          <w:szCs w:val="26"/>
        </w:rPr>
      </w:pPr>
      <w:r w:rsidRPr="00662A4E">
        <w:rPr>
          <w:rFonts w:ascii="Times New Roman" w:hAnsi="Times New Roman"/>
          <w:b/>
          <w:caps/>
          <w:sz w:val="26"/>
          <w:szCs w:val="26"/>
        </w:rPr>
        <w:t>ПРЕДИЗВИКАТЕЛСТВА ПРЕД УСВОЯВАНЕТО НА СРЕДСТВА ОТ ФОНДОВЕТЕ НА ЕВРОПЕЙСКИЯ СЪЮЗ</w:t>
      </w:r>
    </w:p>
    <w:p w:rsidR="007D7AFA" w:rsidRPr="00662A4E" w:rsidRDefault="007D7AFA" w:rsidP="00662A4E">
      <w:pPr>
        <w:spacing w:line="360" w:lineRule="auto"/>
        <w:jc w:val="center"/>
        <w:rPr>
          <w:rFonts w:ascii="Times New Roman" w:hAnsi="Times New Roman"/>
          <w:b/>
          <w:caps/>
          <w:sz w:val="26"/>
          <w:szCs w:val="26"/>
        </w:rPr>
      </w:pPr>
      <w:r w:rsidRPr="00662A4E">
        <w:rPr>
          <w:rFonts w:ascii="Times New Roman" w:hAnsi="Times New Roman"/>
          <w:b/>
          <w:caps/>
          <w:sz w:val="26"/>
          <w:szCs w:val="26"/>
        </w:rPr>
        <w:t>СЪВМЕСТНО ЗАСЕДАНИЕ НА</w:t>
      </w:r>
    </w:p>
    <w:p w:rsidR="007D7AFA" w:rsidRPr="00662A4E" w:rsidRDefault="007D7AFA" w:rsidP="00662A4E">
      <w:pPr>
        <w:spacing w:line="360" w:lineRule="auto"/>
        <w:jc w:val="center"/>
        <w:rPr>
          <w:rFonts w:ascii="Times New Roman" w:hAnsi="Times New Roman"/>
          <w:b/>
          <w:caps/>
          <w:sz w:val="26"/>
          <w:szCs w:val="26"/>
        </w:rPr>
      </w:pPr>
      <w:r w:rsidRPr="00662A4E">
        <w:rPr>
          <w:rFonts w:ascii="Times New Roman" w:hAnsi="Times New Roman"/>
          <w:b/>
          <w:caps/>
          <w:sz w:val="26"/>
          <w:szCs w:val="26"/>
        </w:rPr>
        <w:t>УПРАВИТЕЛНИТЕ СЪВЕТИ И ПРЕДСТАВИТЕЛИТЕ В КОМИТЕТИТЕ ЗА НАБЛЮДЕНИЕ НА ОПЕРАТИВНИТЕ ПРОГРАМИ НА</w:t>
      </w:r>
    </w:p>
    <w:p w:rsidR="007D7AFA" w:rsidRPr="00662A4E" w:rsidRDefault="007D7AFA" w:rsidP="00662A4E">
      <w:pPr>
        <w:spacing w:line="360" w:lineRule="auto"/>
        <w:jc w:val="center"/>
        <w:rPr>
          <w:rFonts w:ascii="Times New Roman" w:hAnsi="Times New Roman"/>
          <w:b/>
          <w:caps/>
          <w:sz w:val="26"/>
          <w:szCs w:val="26"/>
        </w:rPr>
      </w:pPr>
      <w:r w:rsidRPr="00662A4E">
        <w:rPr>
          <w:rFonts w:ascii="Times New Roman" w:hAnsi="Times New Roman"/>
          <w:b/>
          <w:caps/>
          <w:sz w:val="26"/>
          <w:szCs w:val="26"/>
        </w:rPr>
        <w:t>АСОЦИАЦИЯ НА ИНДУСТРИАЛНИЯ КАПИТАЛ В БЪЛГАРИЯ</w:t>
      </w:r>
    </w:p>
    <w:p w:rsidR="007D7AFA" w:rsidRPr="00662A4E" w:rsidRDefault="007D7AFA" w:rsidP="00662A4E">
      <w:pPr>
        <w:spacing w:line="360" w:lineRule="auto"/>
        <w:jc w:val="center"/>
        <w:rPr>
          <w:rFonts w:ascii="Times New Roman" w:hAnsi="Times New Roman"/>
          <w:b/>
          <w:caps/>
          <w:sz w:val="26"/>
          <w:szCs w:val="26"/>
        </w:rPr>
      </w:pPr>
      <w:r w:rsidRPr="00662A4E">
        <w:rPr>
          <w:rFonts w:ascii="Times New Roman" w:hAnsi="Times New Roman"/>
          <w:b/>
          <w:caps/>
          <w:sz w:val="26"/>
          <w:szCs w:val="26"/>
        </w:rPr>
        <w:t xml:space="preserve">И </w:t>
      </w:r>
    </w:p>
    <w:p w:rsidR="007D7AFA" w:rsidRDefault="007D7AFA" w:rsidP="00662A4E">
      <w:pPr>
        <w:spacing w:line="360" w:lineRule="auto"/>
        <w:jc w:val="center"/>
        <w:rPr>
          <w:rFonts w:ascii="Times New Roman" w:hAnsi="Times New Roman"/>
          <w:b/>
          <w:caps/>
          <w:sz w:val="26"/>
          <w:szCs w:val="26"/>
        </w:rPr>
      </w:pPr>
      <w:r w:rsidRPr="00662A4E">
        <w:rPr>
          <w:rFonts w:ascii="Times New Roman" w:hAnsi="Times New Roman"/>
          <w:b/>
          <w:caps/>
          <w:sz w:val="26"/>
          <w:szCs w:val="26"/>
        </w:rPr>
        <w:t>БЪЛГАРСКА СТОПАНСКА КАМАРА – СЪЮЗ НА БЪЛГАРСКИЯ БИЗНЕС</w:t>
      </w:r>
    </w:p>
    <w:p w:rsidR="007D7AFA" w:rsidRDefault="007D7AFA" w:rsidP="00662A4E">
      <w:pPr>
        <w:spacing w:line="360" w:lineRule="auto"/>
        <w:jc w:val="center"/>
        <w:rPr>
          <w:rFonts w:ascii="Times New Roman" w:hAnsi="Times New Roman"/>
          <w:b/>
          <w:caps/>
          <w:sz w:val="26"/>
          <w:szCs w:val="26"/>
        </w:rPr>
      </w:pPr>
      <w:r>
        <w:rPr>
          <w:rFonts w:ascii="Times New Roman" w:hAnsi="Times New Roman"/>
          <w:b/>
          <w:caps/>
          <w:sz w:val="26"/>
          <w:szCs w:val="26"/>
        </w:rPr>
        <w:t>28. 05. 2010 г.</w:t>
      </w:r>
    </w:p>
    <w:p w:rsidR="007D7AFA" w:rsidRDefault="007D7AFA" w:rsidP="00662A4E">
      <w:pPr>
        <w:spacing w:line="360" w:lineRule="auto"/>
        <w:jc w:val="center"/>
        <w:rPr>
          <w:rFonts w:ascii="Times New Roman" w:hAnsi="Times New Roman"/>
          <w:b/>
          <w:caps/>
          <w:sz w:val="26"/>
          <w:szCs w:val="26"/>
        </w:rPr>
      </w:pPr>
    </w:p>
    <w:p w:rsidR="007D7AFA" w:rsidRDefault="007D7AFA" w:rsidP="00662A4E">
      <w:pPr>
        <w:numPr>
          <w:ilvl w:val="0"/>
          <w:numId w:val="40"/>
        </w:numPr>
        <w:rPr>
          <w:rFonts w:ascii="Times New Roman" w:hAnsi="Times New Roman"/>
          <w:b/>
          <w:bCs/>
          <w:sz w:val="26"/>
          <w:szCs w:val="26"/>
          <w:u w:val="single"/>
        </w:rPr>
      </w:pPr>
      <w:r w:rsidRPr="00662A4E">
        <w:rPr>
          <w:rFonts w:ascii="Times New Roman" w:hAnsi="Times New Roman"/>
          <w:b/>
          <w:bCs/>
          <w:sz w:val="26"/>
          <w:szCs w:val="26"/>
          <w:u w:val="single"/>
        </w:rPr>
        <w:t xml:space="preserve">ОБЩИ </w:t>
      </w:r>
      <w:r>
        <w:rPr>
          <w:rFonts w:ascii="Times New Roman" w:hAnsi="Times New Roman"/>
          <w:b/>
          <w:bCs/>
          <w:sz w:val="26"/>
          <w:szCs w:val="26"/>
          <w:u w:val="single"/>
        </w:rPr>
        <w:t>ПРЕПОРЪКИ</w:t>
      </w:r>
    </w:p>
    <w:p w:rsidR="007D7AFA" w:rsidRPr="00662A4E" w:rsidRDefault="007D7AFA" w:rsidP="00662A4E">
      <w:pPr>
        <w:ind w:left="720"/>
        <w:rPr>
          <w:rFonts w:ascii="Times New Roman" w:hAnsi="Times New Roman"/>
          <w:b/>
          <w:bCs/>
          <w:sz w:val="26"/>
          <w:szCs w:val="26"/>
          <w:u w:val="single"/>
        </w:rPr>
      </w:pPr>
    </w:p>
    <w:p w:rsidR="007D7AFA" w:rsidRPr="00662A4E" w:rsidRDefault="007D7AFA" w:rsidP="00662A4E">
      <w:pPr>
        <w:numPr>
          <w:ilvl w:val="0"/>
          <w:numId w:val="18"/>
        </w:numPr>
        <w:tabs>
          <w:tab w:val="clear" w:pos="720"/>
          <w:tab w:val="num" w:pos="540"/>
        </w:tabs>
        <w:ind w:left="540" w:hanging="540"/>
        <w:jc w:val="both"/>
        <w:rPr>
          <w:rFonts w:ascii="Times New Roman" w:hAnsi="Times New Roman"/>
          <w:sz w:val="26"/>
          <w:szCs w:val="26"/>
        </w:rPr>
      </w:pPr>
      <w:r w:rsidRPr="003B6916">
        <w:rPr>
          <w:rFonts w:ascii="Times New Roman" w:hAnsi="Times New Roman"/>
          <w:sz w:val="26"/>
          <w:szCs w:val="26"/>
        </w:rPr>
        <w:t>Националната стратегическа референтна рамка да бъде преразгледана, тъй</w:t>
      </w:r>
      <w:r w:rsidRPr="00662A4E">
        <w:rPr>
          <w:rFonts w:ascii="Times New Roman" w:hAnsi="Times New Roman"/>
          <w:sz w:val="26"/>
          <w:szCs w:val="26"/>
        </w:rPr>
        <w:t xml:space="preserve"> като на практика остават само 3 години и половина за нейното изпълнение, а усвояването на средства от фондовете на ЕС е на твърде незадоволително равнище. Актуализация на НСРР се налага също и поради новите икономически реалности  - следствие от световната икономическа криза, както и от необходимостта да се инкорпорират в нея целите, залегнали в програмата „ЕС 2020”. Като области за подобряване на това състояние могат да бъдат посочени:</w:t>
      </w:r>
    </w:p>
    <w:p w:rsidR="007D7AFA" w:rsidRDefault="007D7AFA" w:rsidP="00662A4E">
      <w:pPr>
        <w:jc w:val="both"/>
        <w:rPr>
          <w:rFonts w:ascii="Times New Roman" w:hAnsi="Times New Roman"/>
          <w:b/>
          <w:sz w:val="26"/>
          <w:szCs w:val="26"/>
        </w:rPr>
      </w:pPr>
    </w:p>
    <w:p w:rsidR="007D7AFA" w:rsidRPr="00662A4E" w:rsidRDefault="007D7AFA" w:rsidP="00662A4E">
      <w:pPr>
        <w:jc w:val="both"/>
        <w:rPr>
          <w:rFonts w:ascii="Times New Roman" w:hAnsi="Times New Roman"/>
          <w:b/>
          <w:sz w:val="26"/>
          <w:szCs w:val="26"/>
        </w:rPr>
      </w:pPr>
      <w:r>
        <w:rPr>
          <w:rFonts w:ascii="Times New Roman" w:hAnsi="Times New Roman"/>
          <w:b/>
          <w:sz w:val="26"/>
          <w:szCs w:val="26"/>
        </w:rPr>
        <w:t>А</w:t>
      </w:r>
      <w:r w:rsidRPr="00662A4E">
        <w:rPr>
          <w:rFonts w:ascii="Times New Roman" w:hAnsi="Times New Roman"/>
          <w:b/>
          <w:sz w:val="26"/>
          <w:szCs w:val="26"/>
        </w:rPr>
        <w:t>. Преразглеждане на всички оперативни програми с оглед идентифициране на възможности за операции, които да насърчат икономическото възстановяване и създаването на работни места.</w:t>
      </w:r>
    </w:p>
    <w:p w:rsidR="007D7AFA" w:rsidRPr="00662A4E" w:rsidRDefault="007D7AFA" w:rsidP="00662A4E">
      <w:pPr>
        <w:ind w:firstLine="709"/>
        <w:jc w:val="both"/>
        <w:rPr>
          <w:rFonts w:ascii="Times New Roman" w:hAnsi="Times New Roman"/>
          <w:sz w:val="26"/>
          <w:szCs w:val="26"/>
        </w:rPr>
      </w:pPr>
      <w:r w:rsidRPr="00662A4E">
        <w:rPr>
          <w:rFonts w:ascii="Times New Roman" w:hAnsi="Times New Roman"/>
          <w:sz w:val="26"/>
          <w:szCs w:val="26"/>
        </w:rPr>
        <w:t>На Управляващите органи, Междинните звена и Комитетите за наблюдение на всички оперативни програми да бъде поставена задачата да направят преглед – ревизия на оперативните програми, така че да се позволи изготвянето на мерки, насърчаващи преодоляването на последствията от кризата и икономическото възстановяване на страната, включително посредством прехвърляне на средства между приоритетите на отделните програми, разширяване на кръга на бенефициентите и т.н.</w:t>
      </w:r>
    </w:p>
    <w:p w:rsidR="007D7AFA" w:rsidRDefault="007D7AFA" w:rsidP="00662A4E">
      <w:pPr>
        <w:jc w:val="both"/>
        <w:rPr>
          <w:rFonts w:ascii="Times New Roman" w:hAnsi="Times New Roman"/>
          <w:b/>
          <w:sz w:val="26"/>
          <w:szCs w:val="26"/>
        </w:rPr>
      </w:pPr>
    </w:p>
    <w:p w:rsidR="007D7AFA" w:rsidRPr="00662A4E" w:rsidRDefault="007D7AFA" w:rsidP="00662A4E">
      <w:pPr>
        <w:jc w:val="both"/>
        <w:rPr>
          <w:rFonts w:ascii="Times New Roman" w:hAnsi="Times New Roman"/>
          <w:b/>
          <w:sz w:val="26"/>
          <w:szCs w:val="26"/>
        </w:rPr>
      </w:pPr>
      <w:r>
        <w:rPr>
          <w:rFonts w:ascii="Times New Roman" w:hAnsi="Times New Roman"/>
          <w:b/>
          <w:sz w:val="26"/>
          <w:szCs w:val="26"/>
        </w:rPr>
        <w:t>Б</w:t>
      </w:r>
      <w:r w:rsidRPr="00662A4E">
        <w:rPr>
          <w:rFonts w:ascii="Times New Roman" w:hAnsi="Times New Roman"/>
          <w:b/>
          <w:sz w:val="26"/>
          <w:szCs w:val="26"/>
        </w:rPr>
        <w:t>. Преразглеждане на ОП Околна среда по посока на включване на операции, допускащи бизнеса като бенефициент.</w:t>
      </w:r>
    </w:p>
    <w:p w:rsidR="007D7AFA" w:rsidRPr="00662A4E" w:rsidRDefault="007D7AFA" w:rsidP="00662A4E">
      <w:pPr>
        <w:ind w:firstLine="709"/>
        <w:jc w:val="both"/>
        <w:rPr>
          <w:rFonts w:ascii="Times New Roman" w:hAnsi="Times New Roman"/>
          <w:sz w:val="26"/>
          <w:szCs w:val="26"/>
        </w:rPr>
      </w:pPr>
      <w:r w:rsidRPr="00662A4E">
        <w:rPr>
          <w:rFonts w:ascii="Times New Roman" w:hAnsi="Times New Roman"/>
          <w:sz w:val="26"/>
          <w:szCs w:val="26"/>
        </w:rPr>
        <w:t xml:space="preserve">Поетите от България при преговорите с ЕС ангажименти в сферата на екологията са изключително и излишно амбициозни и предполагат сериозни инвестиции, както от страна на държавата, така и от страна на бизнеса. В Оперативна програма Околна среда, обаче, не фигурират МСП като потенциални бенефициенти по бъдещите проекти. Мотивите на МОСВ </w:t>
      </w:r>
      <w:r>
        <w:rPr>
          <w:rFonts w:ascii="Times New Roman" w:hAnsi="Times New Roman"/>
          <w:sz w:val="26"/>
          <w:szCs w:val="26"/>
        </w:rPr>
        <w:t>бяха</w:t>
      </w:r>
      <w:r w:rsidRPr="00662A4E">
        <w:rPr>
          <w:rFonts w:ascii="Times New Roman" w:hAnsi="Times New Roman"/>
          <w:sz w:val="26"/>
          <w:szCs w:val="26"/>
        </w:rPr>
        <w:t xml:space="preserve">, че средствата по оперативната програма са недостатъчни и следва да бъдат ползвани само за финансиране на държавни и общински проекти. Отказването на бизнеса на достъп до европейски фондове за проекти, свързани с подобряването на екологията, поставя под въпрос не само конкурентоспособността на предприятията, но и тяхното оцеляване. За сравнение, в оперативните програми на новоприсъединените към ЕС страни реалният сектор има достъп до средства за екология. </w:t>
      </w:r>
    </w:p>
    <w:p w:rsidR="007D7AFA" w:rsidRPr="00662A4E" w:rsidRDefault="007D7AFA" w:rsidP="00257EBF">
      <w:pPr>
        <w:ind w:firstLine="709"/>
        <w:jc w:val="both"/>
        <w:rPr>
          <w:rFonts w:ascii="Times New Roman" w:hAnsi="Times New Roman"/>
          <w:sz w:val="26"/>
          <w:szCs w:val="26"/>
          <w:highlight w:val="yellow"/>
        </w:rPr>
      </w:pPr>
      <w:r w:rsidRPr="00662A4E">
        <w:rPr>
          <w:rFonts w:ascii="Times New Roman" w:hAnsi="Times New Roman"/>
          <w:sz w:val="26"/>
          <w:szCs w:val="26"/>
        </w:rPr>
        <w:t xml:space="preserve">По предварителни оценки, потребностите на частните фирми от средства за привеждане на дейността им в съответствие с изискванията на ЕС в областта екологията в периода 2007 – 2013 г. възлизат на 3 – 4 млрд. евро, без да се включват разходите, свързани с транспониране на нови директиви на ЕС по околна среда. </w:t>
      </w:r>
    </w:p>
    <w:p w:rsidR="007D7AFA" w:rsidRPr="00662A4E" w:rsidRDefault="007D7AFA" w:rsidP="00662A4E">
      <w:pPr>
        <w:jc w:val="both"/>
        <w:rPr>
          <w:rFonts w:ascii="Times New Roman" w:hAnsi="Times New Roman"/>
          <w:sz w:val="26"/>
          <w:szCs w:val="26"/>
          <w:highlight w:val="yellow"/>
        </w:rPr>
      </w:pPr>
    </w:p>
    <w:p w:rsidR="007D7AFA" w:rsidRPr="00662A4E" w:rsidRDefault="007D7AFA" w:rsidP="00662A4E">
      <w:pPr>
        <w:jc w:val="both"/>
        <w:rPr>
          <w:rFonts w:ascii="Times New Roman" w:hAnsi="Times New Roman"/>
          <w:b/>
          <w:sz w:val="26"/>
          <w:szCs w:val="26"/>
        </w:rPr>
      </w:pPr>
      <w:r w:rsidRPr="00662A4E">
        <w:rPr>
          <w:rFonts w:ascii="Times New Roman" w:hAnsi="Times New Roman"/>
          <w:b/>
          <w:sz w:val="26"/>
          <w:szCs w:val="26"/>
        </w:rPr>
        <w:t>В. Търсене на възможности за финансиране на ключови области, останали извън обхвата на настоящите оперативни програми.</w:t>
      </w:r>
    </w:p>
    <w:p w:rsidR="007D7AFA" w:rsidRPr="00662A4E" w:rsidRDefault="007D7AFA" w:rsidP="00662A4E">
      <w:pPr>
        <w:numPr>
          <w:ilvl w:val="0"/>
          <w:numId w:val="44"/>
        </w:numPr>
        <w:jc w:val="both"/>
        <w:rPr>
          <w:rFonts w:ascii="Times New Roman" w:hAnsi="Times New Roman"/>
          <w:b/>
          <w:sz w:val="26"/>
          <w:szCs w:val="26"/>
        </w:rPr>
      </w:pPr>
      <w:r w:rsidRPr="003B6916">
        <w:rPr>
          <w:rFonts w:ascii="Times New Roman" w:hAnsi="Times New Roman"/>
          <w:sz w:val="26"/>
          <w:szCs w:val="26"/>
        </w:rPr>
        <w:t>България има сравнителни конкурентни предимства, потенциал за развитие и възможности за привличане на инвестиции в сектор Информационни и комуникационни технологии. Тези възможности едва ли могат да бъдат реализирани без достъп до финансиране от европейските фондове по настоящата финансова перспектива, поради</w:t>
      </w:r>
      <w:r w:rsidRPr="00662A4E">
        <w:rPr>
          <w:rFonts w:ascii="Times New Roman" w:hAnsi="Times New Roman"/>
          <w:sz w:val="26"/>
          <w:szCs w:val="26"/>
        </w:rPr>
        <w:t xml:space="preserve">  липсата на отделна оперативна програма за развитие на ИКТ и поради слабото застъпване на този приоритет в останалите оперативни програми. В момента, за развитие на информационното общество във всички оперативни програми предвидените средства са  под 1 % от очакваните средства от европейските фондове при 46 % за развитие на земеделието и селските райони, например. Така информационните технологии остават на практика без достатъчна подкрепа, въпреки че в момента по почти всички показатели в тази сфера България е на последно място в Европа-27. Това е сериозна пречка пред повишаването на конкурентоспособността на страната и на бизнеса и не остава незабелязано от Европа - на 19 март 2008 г. Европейската комисия също критикува остро състоянието на българските ИКТ. Комисар Вивиан Рединг обяви, че страната ни е с най-ниското ниво на проникване на високоскоростен интернет в Общността – 7.6 % (при средно 20 % за ЕС);</w:t>
      </w:r>
    </w:p>
    <w:p w:rsidR="007D7AFA" w:rsidRDefault="007D7AFA" w:rsidP="00E8247A">
      <w:pPr>
        <w:numPr>
          <w:ilvl w:val="0"/>
          <w:numId w:val="44"/>
        </w:numPr>
        <w:jc w:val="both"/>
        <w:rPr>
          <w:rFonts w:ascii="Times New Roman" w:hAnsi="Times New Roman"/>
          <w:sz w:val="26"/>
          <w:szCs w:val="26"/>
        </w:rPr>
      </w:pPr>
      <w:r w:rsidRPr="00662A4E">
        <w:rPr>
          <w:rFonts w:ascii="Times New Roman" w:hAnsi="Times New Roman"/>
          <w:sz w:val="26"/>
          <w:szCs w:val="26"/>
        </w:rPr>
        <w:t xml:space="preserve">Аналогично е положението с възможностите за финансиране на изграждането </w:t>
      </w:r>
      <w:r w:rsidRPr="003B6916">
        <w:rPr>
          <w:rFonts w:ascii="Times New Roman" w:hAnsi="Times New Roman"/>
          <w:sz w:val="26"/>
          <w:szCs w:val="26"/>
        </w:rPr>
        <w:t>на възобновяеми енергийни източници (ВЕИ). В НСРР е дефинирана цел за “подпомагане производството на енергия от ВЕИ, включително интеграцията на трансферни и дистрибуторски мрежи”, така че енергията, произведена от ВЕИ, измерена като брутна вътрешна консумация на енергия да достигне 11% дял от общото производство на енергия в страната до 2010 г. За постигането на тази цел липсват предвидени действени мерки в оперативните програми. От тази гледна точка, следва да се вземе аргументирано решение, обсъдено със заинтересованите</w:t>
      </w:r>
      <w:r>
        <w:rPr>
          <w:rFonts w:ascii="Times New Roman" w:hAnsi="Times New Roman"/>
          <w:sz w:val="26"/>
          <w:szCs w:val="26"/>
        </w:rPr>
        <w:t xml:space="preserve"> страни, доколко е удачно оставането на подобна цел в НСРР. </w:t>
      </w:r>
      <w:r w:rsidRPr="00662A4E">
        <w:rPr>
          <w:rFonts w:ascii="Times New Roman" w:hAnsi="Times New Roman"/>
          <w:sz w:val="26"/>
          <w:szCs w:val="26"/>
        </w:rPr>
        <w:t xml:space="preserve"> </w:t>
      </w:r>
    </w:p>
    <w:p w:rsidR="007D7AFA" w:rsidRPr="00662A4E" w:rsidRDefault="007D7AFA" w:rsidP="00E8247A">
      <w:pPr>
        <w:ind w:left="720"/>
        <w:jc w:val="both"/>
        <w:rPr>
          <w:rFonts w:ascii="Times New Roman" w:hAnsi="Times New Roman"/>
          <w:sz w:val="26"/>
          <w:szCs w:val="26"/>
        </w:rPr>
      </w:pPr>
    </w:p>
    <w:p w:rsidR="007D7AFA" w:rsidRDefault="007D7AFA" w:rsidP="00662A4E">
      <w:pPr>
        <w:numPr>
          <w:ilvl w:val="0"/>
          <w:numId w:val="18"/>
        </w:numPr>
        <w:tabs>
          <w:tab w:val="clear" w:pos="720"/>
          <w:tab w:val="num" w:pos="540"/>
        </w:tabs>
        <w:ind w:left="540" w:hanging="540"/>
        <w:jc w:val="both"/>
        <w:rPr>
          <w:rFonts w:ascii="Times New Roman" w:hAnsi="Times New Roman"/>
          <w:sz w:val="26"/>
          <w:szCs w:val="26"/>
        </w:rPr>
      </w:pPr>
      <w:r w:rsidRPr="00662A4E">
        <w:rPr>
          <w:rFonts w:ascii="Times New Roman" w:hAnsi="Times New Roman"/>
          <w:sz w:val="26"/>
          <w:szCs w:val="26"/>
        </w:rPr>
        <w:t>Да се започне подготовката на Националната стратегическа референтна рамка на страната за следващия програмен период. Като се има предвид времето, което беше необходимо за изготвянето на настоящата НСРР, страната ни вече е закъсняла със стартирането на този процес. За да се гарантира високото качество на НСР</w:t>
      </w:r>
      <w:r>
        <w:rPr>
          <w:rFonts w:ascii="Times New Roman" w:hAnsi="Times New Roman"/>
          <w:sz w:val="26"/>
          <w:szCs w:val="26"/>
        </w:rPr>
        <w:t>Р за следващия програмен период</w:t>
      </w:r>
      <w:r w:rsidRPr="00662A4E">
        <w:rPr>
          <w:rFonts w:ascii="Times New Roman" w:hAnsi="Times New Roman"/>
          <w:sz w:val="26"/>
          <w:szCs w:val="26"/>
        </w:rPr>
        <w:t xml:space="preserve">, е добре нейното разработване да се основава на  </w:t>
      </w:r>
      <w:r w:rsidRPr="003B6916">
        <w:rPr>
          <w:rFonts w:ascii="Times New Roman" w:hAnsi="Times New Roman"/>
          <w:sz w:val="26"/>
          <w:szCs w:val="26"/>
        </w:rPr>
        <w:t>национален консенсус при определянето на стратегически сектори от българската икономика с експортен потенциал и създаващи висока добавена стойност, които да бъдат целенасочено развивани и подкрепяни с наличните инструменти.</w:t>
      </w:r>
      <w:r w:rsidRPr="00662A4E">
        <w:rPr>
          <w:rFonts w:ascii="Times New Roman" w:hAnsi="Times New Roman"/>
          <w:sz w:val="26"/>
          <w:szCs w:val="26"/>
        </w:rPr>
        <w:t xml:space="preserve"> Тези сектори следва да бъдат изведени на основа на сравнителните конкурентни предимства на България, както и на основа на задълбочен анализ на възможностите и предизвикателствата на европейския и световен пазар</w:t>
      </w:r>
      <w:r w:rsidRPr="00662A4E">
        <w:rPr>
          <w:rStyle w:val="FootnoteReference"/>
          <w:rFonts w:ascii="Times New Roman" w:hAnsi="Times New Roman"/>
          <w:sz w:val="26"/>
          <w:szCs w:val="26"/>
        </w:rPr>
        <w:t xml:space="preserve"> </w:t>
      </w:r>
      <w:r w:rsidRPr="00662A4E">
        <w:rPr>
          <w:rFonts w:ascii="Times New Roman" w:hAnsi="Times New Roman"/>
          <w:sz w:val="26"/>
          <w:szCs w:val="26"/>
        </w:rPr>
        <w:t>и тяхното насърчаване да се основава на провеждането на последователна държавна политика, едновременно с прилагането на адекватна дългосрочна стратегия</w:t>
      </w:r>
      <w:r>
        <w:rPr>
          <w:rFonts w:ascii="Times New Roman" w:hAnsi="Times New Roman"/>
          <w:sz w:val="26"/>
          <w:szCs w:val="26"/>
        </w:rPr>
        <w:t>.</w:t>
      </w:r>
    </w:p>
    <w:p w:rsidR="007D7AFA" w:rsidRPr="00662A4E" w:rsidRDefault="007D7AFA" w:rsidP="00662A4E">
      <w:pPr>
        <w:ind w:left="540"/>
        <w:jc w:val="both"/>
        <w:rPr>
          <w:rFonts w:ascii="Times New Roman" w:hAnsi="Times New Roman"/>
          <w:sz w:val="26"/>
          <w:szCs w:val="26"/>
        </w:rPr>
      </w:pPr>
    </w:p>
    <w:p w:rsidR="007D7AFA" w:rsidRPr="00662A4E" w:rsidRDefault="007D7AFA" w:rsidP="00662A4E">
      <w:pPr>
        <w:numPr>
          <w:ilvl w:val="0"/>
          <w:numId w:val="18"/>
        </w:numPr>
        <w:tabs>
          <w:tab w:val="clear" w:pos="720"/>
          <w:tab w:val="num" w:pos="540"/>
        </w:tabs>
        <w:ind w:left="540" w:hanging="540"/>
        <w:jc w:val="both"/>
        <w:rPr>
          <w:rFonts w:ascii="Times New Roman" w:hAnsi="Times New Roman"/>
          <w:sz w:val="26"/>
          <w:szCs w:val="26"/>
        </w:rPr>
      </w:pPr>
      <w:r w:rsidRPr="00662A4E">
        <w:rPr>
          <w:rFonts w:ascii="Times New Roman" w:hAnsi="Times New Roman"/>
          <w:sz w:val="26"/>
          <w:szCs w:val="26"/>
        </w:rPr>
        <w:t>За насърчаване на усвояването на средствата от фондовете на ЕС следва да се направи ревизия на националното законодателство в тази област, както и на прилаганите процедури по оперативни програми, с оглед тяхното опростяване за насърчаване на по-активното участие на бенефициентите. Следните основни области могат да бъдат посочени, като при стартирането на работата, те следва да бъдат изчерпателно идентифицирани на основа на подробен анализ:</w:t>
      </w:r>
    </w:p>
    <w:p w:rsidR="007D7AFA" w:rsidRPr="00662A4E" w:rsidRDefault="007D7AFA" w:rsidP="00662A4E">
      <w:pPr>
        <w:numPr>
          <w:ilvl w:val="0"/>
          <w:numId w:val="43"/>
        </w:numPr>
        <w:jc w:val="both"/>
        <w:rPr>
          <w:rFonts w:ascii="Times New Roman" w:hAnsi="Times New Roman"/>
          <w:sz w:val="26"/>
          <w:szCs w:val="26"/>
        </w:rPr>
      </w:pPr>
      <w:r w:rsidRPr="00662A4E">
        <w:rPr>
          <w:rFonts w:ascii="Times New Roman" w:hAnsi="Times New Roman"/>
          <w:sz w:val="26"/>
          <w:szCs w:val="26"/>
        </w:rPr>
        <w:t>Повишаванена размера на авансовите плащания по проектите и опростяване на механизмите за тяхното гарантиране – включително посредством по-широкото използване на алтернативи на банковите гаранции като записи на заповед, застраховки, сметки със специално предназначение и съвместно управление и др.;</w:t>
      </w:r>
    </w:p>
    <w:p w:rsidR="007D7AFA" w:rsidRPr="00662A4E" w:rsidRDefault="007D7AFA" w:rsidP="00662A4E">
      <w:pPr>
        <w:numPr>
          <w:ilvl w:val="0"/>
          <w:numId w:val="43"/>
        </w:numPr>
        <w:jc w:val="both"/>
        <w:rPr>
          <w:rFonts w:ascii="Times New Roman" w:hAnsi="Times New Roman"/>
          <w:sz w:val="26"/>
          <w:szCs w:val="26"/>
        </w:rPr>
      </w:pPr>
      <w:r w:rsidRPr="00662A4E">
        <w:rPr>
          <w:rFonts w:ascii="Times New Roman" w:hAnsi="Times New Roman"/>
          <w:sz w:val="26"/>
          <w:szCs w:val="26"/>
        </w:rPr>
        <w:t>Опростяване на изискванията за отчетност – особено предоставянето на информация към УО и МЗ, с която те вече разполагат. В момента, при подаването на междинни отчети се изисква копия от всички тръжни процедури, договори и т.н. да бъдат представяни отново и отново към всеки междинен отчет, като всяка страница трябва да бъде заверявана от бенефициента с подпис, печат и печат „вярно с оригинала”. Абсурдни са и изискванията за предстяване на копия от изследователски инструментариуми например (при провеждане на изследвания, се изискват копията от всички попълнени анкетни карти и когато изследванията са в национален мащаб, това води до планини от хартия и огромни разходи за размножаване)</w:t>
      </w:r>
      <w:r>
        <w:rPr>
          <w:rFonts w:ascii="Times New Roman" w:hAnsi="Times New Roman"/>
          <w:sz w:val="26"/>
          <w:szCs w:val="26"/>
        </w:rPr>
        <w:t>. Следва да има ясно разграничение между изискванията за отчетност и функциите на одита</w:t>
      </w:r>
      <w:r w:rsidRPr="00662A4E">
        <w:rPr>
          <w:rFonts w:ascii="Times New Roman" w:hAnsi="Times New Roman"/>
          <w:sz w:val="26"/>
          <w:szCs w:val="26"/>
        </w:rPr>
        <w:t>;</w:t>
      </w:r>
    </w:p>
    <w:p w:rsidR="007D7AFA" w:rsidRPr="00662A4E" w:rsidRDefault="007D7AFA" w:rsidP="00662A4E">
      <w:pPr>
        <w:numPr>
          <w:ilvl w:val="0"/>
          <w:numId w:val="43"/>
        </w:numPr>
        <w:jc w:val="both"/>
        <w:rPr>
          <w:rFonts w:ascii="Times New Roman" w:hAnsi="Times New Roman"/>
          <w:sz w:val="26"/>
          <w:szCs w:val="26"/>
        </w:rPr>
      </w:pPr>
      <w:r w:rsidRPr="00662A4E">
        <w:rPr>
          <w:rFonts w:ascii="Times New Roman" w:hAnsi="Times New Roman"/>
          <w:sz w:val="26"/>
          <w:szCs w:val="26"/>
        </w:rPr>
        <w:t>Прецизиране на документалните изисквания при избора на подизпълнители – в момента различните УО прилагат различни практики и процедури по отношение на оформянето на тръжните процедури, а документалните изисквания към потенциалните подизпълнители – чуждестранни юридически лица са на практика неизпълними;</w:t>
      </w:r>
    </w:p>
    <w:p w:rsidR="007D7AFA" w:rsidRDefault="007D7AFA" w:rsidP="00662A4E">
      <w:pPr>
        <w:numPr>
          <w:ilvl w:val="0"/>
          <w:numId w:val="43"/>
        </w:numPr>
        <w:jc w:val="both"/>
        <w:rPr>
          <w:rFonts w:ascii="Times New Roman" w:hAnsi="Times New Roman"/>
          <w:sz w:val="26"/>
          <w:szCs w:val="26"/>
        </w:rPr>
      </w:pPr>
      <w:r w:rsidRPr="00662A4E">
        <w:rPr>
          <w:rFonts w:ascii="Times New Roman" w:hAnsi="Times New Roman"/>
          <w:sz w:val="26"/>
          <w:szCs w:val="26"/>
        </w:rPr>
        <w:t xml:space="preserve">Ускоряване и осигуряване на ритмичност на междинните плащания по проектите. В момента минималния срок от подаването на междинен отчет до извършването на междинно плащане е 3 месеца, но на практика е невъзможно той да бъде спазен. Ситуацията допълнително се влошава то това, че често УО не разполагат със средства за извършването на междинни плащания дори при напълно изрядни процедури. Невъзможни за спазване са и сроковете за подаването на междинни отчети – 5то число на месеца, следващ периода на отчитане. </w:t>
      </w:r>
    </w:p>
    <w:p w:rsidR="007D7AFA" w:rsidRPr="00662A4E" w:rsidRDefault="007D7AFA" w:rsidP="00B00631">
      <w:pPr>
        <w:ind w:left="765"/>
        <w:jc w:val="both"/>
        <w:rPr>
          <w:rFonts w:ascii="Times New Roman" w:hAnsi="Times New Roman"/>
          <w:sz w:val="26"/>
          <w:szCs w:val="26"/>
        </w:rPr>
      </w:pPr>
    </w:p>
    <w:p w:rsidR="007D7AFA" w:rsidRDefault="007D7AFA" w:rsidP="00662A4E">
      <w:pPr>
        <w:numPr>
          <w:ilvl w:val="0"/>
          <w:numId w:val="18"/>
        </w:numPr>
        <w:tabs>
          <w:tab w:val="clear" w:pos="720"/>
          <w:tab w:val="num" w:pos="540"/>
        </w:tabs>
        <w:ind w:left="540" w:hanging="540"/>
        <w:jc w:val="both"/>
        <w:rPr>
          <w:rFonts w:ascii="Times New Roman" w:hAnsi="Times New Roman"/>
          <w:sz w:val="26"/>
          <w:szCs w:val="26"/>
        </w:rPr>
      </w:pPr>
      <w:r w:rsidRPr="003B6916">
        <w:rPr>
          <w:rFonts w:ascii="Times New Roman" w:hAnsi="Times New Roman"/>
          <w:sz w:val="26"/>
          <w:szCs w:val="26"/>
        </w:rPr>
        <w:t>Все още липсват действени инструменти за наблюдение, получаване на обратна информация и предприемане на корективни действия при необходимост.</w:t>
      </w:r>
      <w:r w:rsidRPr="00662A4E">
        <w:rPr>
          <w:rFonts w:ascii="Times New Roman" w:hAnsi="Times New Roman"/>
          <w:sz w:val="26"/>
          <w:szCs w:val="26"/>
        </w:rPr>
        <w:t xml:space="preserve"> Въпреки изминалите вече </w:t>
      </w:r>
      <w:r>
        <w:rPr>
          <w:rFonts w:ascii="Times New Roman" w:hAnsi="Times New Roman"/>
          <w:sz w:val="26"/>
          <w:szCs w:val="26"/>
        </w:rPr>
        <w:t>три</w:t>
      </w:r>
      <w:r w:rsidRPr="00662A4E">
        <w:rPr>
          <w:rFonts w:ascii="Times New Roman" w:hAnsi="Times New Roman"/>
          <w:sz w:val="26"/>
          <w:szCs w:val="26"/>
        </w:rPr>
        <w:t xml:space="preserve"> и половина години от присъединяването на България към ЕС, все още няма действаща институционализирана практика в това отношение. По този начин се допускат едни и същи грешки и порочни практики, което допълнително забавя и затруднява процеса на усвояването на средства от фондовете на ЕС</w:t>
      </w:r>
      <w:r w:rsidRPr="003B6916">
        <w:rPr>
          <w:rFonts w:ascii="Times New Roman" w:hAnsi="Times New Roman"/>
          <w:sz w:val="26"/>
          <w:szCs w:val="26"/>
        </w:rPr>
        <w:t>. За да се преодолее този проблем, може да бъде създадено Звено за бързо реагиране при открити проблеми,</w:t>
      </w:r>
      <w:r w:rsidRPr="00662A4E">
        <w:rPr>
          <w:rFonts w:ascii="Times New Roman" w:hAnsi="Times New Roman"/>
          <w:sz w:val="26"/>
          <w:szCs w:val="26"/>
        </w:rPr>
        <w:t xml:space="preserve"> което следва да разполага с правомощия спешно да сезира МС за решаването на откритите пропуски, в активен диалог със социалните партньори. </w:t>
      </w:r>
    </w:p>
    <w:p w:rsidR="007D7AFA" w:rsidRPr="00662A4E" w:rsidRDefault="007D7AFA" w:rsidP="00B00631">
      <w:pPr>
        <w:ind w:left="540"/>
        <w:jc w:val="both"/>
        <w:rPr>
          <w:rFonts w:ascii="Times New Roman" w:hAnsi="Times New Roman"/>
          <w:sz w:val="26"/>
          <w:szCs w:val="26"/>
        </w:rPr>
      </w:pPr>
    </w:p>
    <w:p w:rsidR="007D7AFA" w:rsidRDefault="007D7AFA" w:rsidP="00662A4E">
      <w:pPr>
        <w:numPr>
          <w:ilvl w:val="0"/>
          <w:numId w:val="18"/>
        </w:numPr>
        <w:tabs>
          <w:tab w:val="clear" w:pos="720"/>
          <w:tab w:val="num" w:pos="540"/>
        </w:tabs>
        <w:ind w:left="540" w:hanging="540"/>
        <w:jc w:val="both"/>
        <w:rPr>
          <w:rFonts w:ascii="Times New Roman" w:hAnsi="Times New Roman"/>
          <w:sz w:val="26"/>
          <w:szCs w:val="26"/>
        </w:rPr>
      </w:pPr>
      <w:r w:rsidRPr="00662A4E">
        <w:rPr>
          <w:rFonts w:ascii="Times New Roman" w:hAnsi="Times New Roman"/>
          <w:sz w:val="26"/>
          <w:szCs w:val="26"/>
        </w:rPr>
        <w:t xml:space="preserve">Не е решен </w:t>
      </w:r>
      <w:r w:rsidRPr="003B6916">
        <w:rPr>
          <w:rFonts w:ascii="Times New Roman" w:hAnsi="Times New Roman"/>
          <w:sz w:val="26"/>
          <w:szCs w:val="26"/>
        </w:rPr>
        <w:t>проблемът с извършването на преводи на парични средства между партньорите</w:t>
      </w:r>
      <w:r w:rsidRPr="00662A4E">
        <w:rPr>
          <w:rFonts w:ascii="Times New Roman" w:hAnsi="Times New Roman"/>
          <w:sz w:val="26"/>
          <w:szCs w:val="26"/>
        </w:rPr>
        <w:t xml:space="preserve"> за съфинансиране на собствения принос по проектите – в момента тези преводи се облагат и с ДДС, и с данък печалба.</w:t>
      </w:r>
    </w:p>
    <w:p w:rsidR="007D7AFA" w:rsidRPr="00662A4E" w:rsidRDefault="007D7AFA" w:rsidP="00B00631">
      <w:pPr>
        <w:tabs>
          <w:tab w:val="num" w:pos="540"/>
        </w:tabs>
        <w:jc w:val="both"/>
        <w:rPr>
          <w:rFonts w:ascii="Times New Roman" w:hAnsi="Times New Roman"/>
          <w:sz w:val="26"/>
          <w:szCs w:val="26"/>
        </w:rPr>
      </w:pPr>
    </w:p>
    <w:p w:rsidR="007D7AFA" w:rsidRDefault="007D7AFA" w:rsidP="00662A4E">
      <w:pPr>
        <w:numPr>
          <w:ilvl w:val="0"/>
          <w:numId w:val="18"/>
        </w:numPr>
        <w:tabs>
          <w:tab w:val="clear" w:pos="720"/>
          <w:tab w:val="num" w:pos="540"/>
        </w:tabs>
        <w:ind w:left="540" w:hanging="540"/>
        <w:jc w:val="both"/>
        <w:rPr>
          <w:rFonts w:ascii="Times New Roman" w:hAnsi="Times New Roman"/>
          <w:sz w:val="26"/>
          <w:szCs w:val="26"/>
        </w:rPr>
      </w:pPr>
      <w:r w:rsidRPr="00662A4E">
        <w:rPr>
          <w:rFonts w:ascii="Times New Roman" w:hAnsi="Times New Roman"/>
          <w:sz w:val="26"/>
          <w:szCs w:val="26"/>
        </w:rPr>
        <w:t>Следва ясно и еднозначно да бъде адресиран и проблемът с предоставянето на държавна помощ. Липсата на ясни указания в тази сфера подлага на риск успешното прилагане на самите финансови инструменти.</w:t>
      </w:r>
    </w:p>
    <w:p w:rsidR="007D7AFA" w:rsidRPr="00662A4E" w:rsidRDefault="007D7AFA" w:rsidP="00B00631">
      <w:pPr>
        <w:jc w:val="both"/>
        <w:rPr>
          <w:rFonts w:ascii="Times New Roman" w:hAnsi="Times New Roman"/>
          <w:sz w:val="26"/>
          <w:szCs w:val="26"/>
        </w:rPr>
      </w:pPr>
    </w:p>
    <w:p w:rsidR="007D7AFA" w:rsidRDefault="007D7AFA" w:rsidP="00662A4E">
      <w:pPr>
        <w:numPr>
          <w:ilvl w:val="0"/>
          <w:numId w:val="18"/>
        </w:numPr>
        <w:tabs>
          <w:tab w:val="clear" w:pos="720"/>
          <w:tab w:val="num" w:pos="540"/>
        </w:tabs>
        <w:ind w:left="540" w:hanging="540"/>
        <w:jc w:val="both"/>
        <w:rPr>
          <w:rFonts w:ascii="Times New Roman" w:hAnsi="Times New Roman"/>
          <w:sz w:val="26"/>
          <w:szCs w:val="26"/>
        </w:rPr>
      </w:pPr>
      <w:r w:rsidRPr="00662A4E">
        <w:rPr>
          <w:rFonts w:ascii="Times New Roman" w:hAnsi="Times New Roman"/>
          <w:sz w:val="26"/>
          <w:szCs w:val="26"/>
        </w:rPr>
        <w:t>Нормативните документи, регламентиращи усвояването на средства от фондовете на ЕС следва да бъдат приведени в съответствие с разпоредбите на Закона за електронното управление.</w:t>
      </w:r>
    </w:p>
    <w:p w:rsidR="007D7AFA" w:rsidRDefault="007D7AFA" w:rsidP="00695281">
      <w:pPr>
        <w:jc w:val="both"/>
        <w:rPr>
          <w:rFonts w:ascii="Times New Roman" w:hAnsi="Times New Roman"/>
          <w:sz w:val="26"/>
          <w:szCs w:val="26"/>
        </w:rPr>
      </w:pPr>
    </w:p>
    <w:p w:rsidR="007D7AFA" w:rsidRPr="00662A4E" w:rsidRDefault="007D7AFA" w:rsidP="00662A4E">
      <w:pPr>
        <w:numPr>
          <w:ilvl w:val="0"/>
          <w:numId w:val="18"/>
        </w:numPr>
        <w:tabs>
          <w:tab w:val="clear" w:pos="720"/>
          <w:tab w:val="num" w:pos="540"/>
        </w:tabs>
        <w:ind w:left="540" w:hanging="540"/>
        <w:jc w:val="both"/>
        <w:rPr>
          <w:rFonts w:ascii="Times New Roman" w:hAnsi="Times New Roman"/>
          <w:sz w:val="26"/>
          <w:szCs w:val="26"/>
        </w:rPr>
      </w:pPr>
      <w:r>
        <w:rPr>
          <w:rFonts w:ascii="Times New Roman" w:hAnsi="Times New Roman"/>
          <w:sz w:val="26"/>
          <w:szCs w:val="26"/>
        </w:rPr>
        <w:t>Разработване на индикативни програми за целия програмен период до 2013 г., а не само за съответната година.</w:t>
      </w:r>
    </w:p>
    <w:p w:rsidR="007D7AFA" w:rsidRDefault="007D7AFA" w:rsidP="00662A4E">
      <w:pPr>
        <w:ind w:firstLine="720"/>
        <w:jc w:val="both"/>
        <w:rPr>
          <w:rFonts w:ascii="Times New Roman" w:hAnsi="Times New Roman"/>
          <w:sz w:val="26"/>
          <w:szCs w:val="26"/>
          <w:lang w:val="en-US"/>
        </w:rPr>
      </w:pPr>
    </w:p>
    <w:p w:rsidR="007D7AFA" w:rsidRDefault="007D7AFA" w:rsidP="00662A4E">
      <w:pPr>
        <w:ind w:firstLine="720"/>
        <w:jc w:val="both"/>
        <w:rPr>
          <w:rFonts w:ascii="Times New Roman" w:hAnsi="Times New Roman"/>
          <w:sz w:val="26"/>
          <w:szCs w:val="26"/>
          <w:lang w:val="en-US"/>
        </w:rPr>
      </w:pPr>
    </w:p>
    <w:p w:rsidR="007D7AFA" w:rsidRPr="006D000A" w:rsidRDefault="007D7AFA" w:rsidP="00662A4E">
      <w:pPr>
        <w:numPr>
          <w:ilvl w:val="0"/>
          <w:numId w:val="40"/>
        </w:numPr>
        <w:jc w:val="both"/>
        <w:rPr>
          <w:rFonts w:ascii="Times New Roman" w:hAnsi="Times New Roman"/>
          <w:b/>
          <w:sz w:val="26"/>
          <w:szCs w:val="26"/>
          <w:lang w:val="en-US"/>
        </w:rPr>
      </w:pPr>
      <w:r w:rsidRPr="006D000A">
        <w:rPr>
          <w:rFonts w:ascii="Times New Roman" w:hAnsi="Times New Roman"/>
          <w:b/>
          <w:sz w:val="26"/>
          <w:szCs w:val="26"/>
        </w:rPr>
        <w:t>СТЕПЕН НА УСВОЯВАНЕ НА СРЕДСТВАТА ОТ ЕС</w:t>
      </w:r>
    </w:p>
    <w:p w:rsidR="007D7AFA" w:rsidRDefault="007D7AFA" w:rsidP="00662A4E">
      <w:pPr>
        <w:ind w:firstLine="720"/>
        <w:jc w:val="both"/>
        <w:rPr>
          <w:rFonts w:ascii="Times New Roman" w:hAnsi="Times New Roman"/>
          <w:sz w:val="26"/>
          <w:szCs w:val="26"/>
        </w:rPr>
      </w:pPr>
    </w:p>
    <w:p w:rsidR="007D7AFA" w:rsidRPr="006D000A" w:rsidRDefault="007D7AFA" w:rsidP="006D000A">
      <w:pPr>
        <w:numPr>
          <w:ilvl w:val="1"/>
          <w:numId w:val="40"/>
        </w:numPr>
        <w:ind w:left="567" w:hanging="567"/>
        <w:jc w:val="both"/>
        <w:rPr>
          <w:rFonts w:ascii="Times New Roman" w:hAnsi="Times New Roman"/>
          <w:sz w:val="26"/>
          <w:szCs w:val="26"/>
        </w:rPr>
      </w:pPr>
      <w:r w:rsidRPr="006D000A">
        <w:rPr>
          <w:rFonts w:ascii="Times New Roman" w:hAnsi="Times New Roman"/>
          <w:sz w:val="26"/>
          <w:szCs w:val="26"/>
        </w:rPr>
        <w:t>Предприсъединителни програми (в евро) – степен на усвояване</w:t>
      </w:r>
    </w:p>
    <w:p w:rsidR="007D7AFA" w:rsidRDefault="007D7AFA" w:rsidP="00662A4E">
      <w:pPr>
        <w:ind w:firstLine="720"/>
        <w:jc w:val="both"/>
        <w:rPr>
          <w:rFonts w:ascii="Times New Roman" w:hAnsi="Times New Roman"/>
          <w:sz w:val="26"/>
          <w:szCs w:val="26"/>
        </w:rPr>
      </w:pPr>
    </w:p>
    <w:tbl>
      <w:tblPr>
        <w:tblW w:w="100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55"/>
        <w:gridCol w:w="1620"/>
        <w:gridCol w:w="1620"/>
        <w:gridCol w:w="1440"/>
        <w:gridCol w:w="1440"/>
        <w:gridCol w:w="1620"/>
      </w:tblGrid>
      <w:tr w:rsidR="007D7AFA" w:rsidRPr="00333ECC" w:rsidTr="007652AD">
        <w:trPr>
          <w:trHeight w:val="255"/>
        </w:trPr>
        <w:tc>
          <w:tcPr>
            <w:tcW w:w="2355" w:type="dxa"/>
            <w:tcBorders>
              <w:top w:val="double" w:sz="4" w:space="0" w:color="auto"/>
              <w:left w:val="double" w:sz="4" w:space="0" w:color="auto"/>
            </w:tcBorders>
            <w:vAlign w:val="bottom"/>
          </w:tcPr>
          <w:p w:rsidR="007D7AFA" w:rsidRPr="00333ECC" w:rsidRDefault="007D7AFA" w:rsidP="007652AD">
            <w:pPr>
              <w:rPr>
                <w:rFonts w:ascii="Arial" w:hAnsi="Arial" w:cs="Arial"/>
                <w:sz w:val="20"/>
                <w:szCs w:val="20"/>
              </w:rPr>
            </w:pPr>
          </w:p>
        </w:tc>
        <w:tc>
          <w:tcPr>
            <w:tcW w:w="1620" w:type="dxa"/>
            <w:tcBorders>
              <w:top w:val="double" w:sz="4" w:space="0" w:color="auto"/>
            </w:tcBorders>
            <w:vAlign w:val="center"/>
          </w:tcPr>
          <w:p w:rsidR="007D7AFA" w:rsidRPr="00333ECC" w:rsidRDefault="007D7AFA" w:rsidP="007652AD">
            <w:pPr>
              <w:jc w:val="center"/>
              <w:rPr>
                <w:rFonts w:ascii="Arial" w:hAnsi="Arial" w:cs="Arial"/>
                <w:b/>
                <w:sz w:val="20"/>
                <w:szCs w:val="20"/>
              </w:rPr>
            </w:pPr>
            <w:r>
              <w:rPr>
                <w:rFonts w:ascii="Arial" w:hAnsi="Arial" w:cs="Arial"/>
                <w:b/>
                <w:sz w:val="20"/>
                <w:szCs w:val="20"/>
              </w:rPr>
              <w:t>Бюджет</w:t>
            </w:r>
          </w:p>
        </w:tc>
        <w:tc>
          <w:tcPr>
            <w:tcW w:w="1620" w:type="dxa"/>
            <w:tcBorders>
              <w:top w:val="double" w:sz="4" w:space="0" w:color="auto"/>
            </w:tcBorders>
            <w:vAlign w:val="center"/>
          </w:tcPr>
          <w:p w:rsidR="007D7AFA" w:rsidRDefault="007D7AFA" w:rsidP="007652AD">
            <w:pPr>
              <w:jc w:val="center"/>
              <w:rPr>
                <w:rFonts w:ascii="Arial" w:hAnsi="Arial" w:cs="Arial"/>
                <w:b/>
                <w:sz w:val="20"/>
                <w:szCs w:val="20"/>
              </w:rPr>
            </w:pPr>
            <w:r>
              <w:rPr>
                <w:rFonts w:ascii="Arial" w:hAnsi="Arial" w:cs="Arial"/>
                <w:b/>
                <w:sz w:val="20"/>
                <w:szCs w:val="20"/>
              </w:rPr>
              <w:t>Договорено</w:t>
            </w:r>
          </w:p>
        </w:tc>
        <w:tc>
          <w:tcPr>
            <w:tcW w:w="1440" w:type="dxa"/>
            <w:tcBorders>
              <w:top w:val="double" w:sz="4" w:space="0" w:color="auto"/>
            </w:tcBorders>
            <w:vAlign w:val="center"/>
          </w:tcPr>
          <w:p w:rsidR="007D7AFA" w:rsidRDefault="007D7AFA" w:rsidP="007652AD">
            <w:pPr>
              <w:jc w:val="center"/>
              <w:rPr>
                <w:rFonts w:ascii="Arial" w:hAnsi="Arial" w:cs="Arial"/>
                <w:b/>
                <w:sz w:val="20"/>
                <w:szCs w:val="20"/>
              </w:rPr>
            </w:pPr>
            <w:r>
              <w:rPr>
                <w:rFonts w:ascii="Arial" w:hAnsi="Arial" w:cs="Arial"/>
                <w:b/>
                <w:sz w:val="20"/>
                <w:szCs w:val="20"/>
              </w:rPr>
              <w:t>Дял на договорено към бюджета, %</w:t>
            </w:r>
          </w:p>
        </w:tc>
        <w:tc>
          <w:tcPr>
            <w:tcW w:w="1440" w:type="dxa"/>
            <w:tcBorders>
              <w:top w:val="double" w:sz="4" w:space="0" w:color="auto"/>
            </w:tcBorders>
            <w:vAlign w:val="center"/>
          </w:tcPr>
          <w:p w:rsidR="007D7AFA" w:rsidRPr="00333ECC" w:rsidRDefault="007D7AFA" w:rsidP="007652AD">
            <w:pPr>
              <w:jc w:val="center"/>
              <w:rPr>
                <w:rFonts w:ascii="Arial" w:hAnsi="Arial" w:cs="Arial"/>
                <w:b/>
                <w:sz w:val="20"/>
                <w:szCs w:val="20"/>
              </w:rPr>
            </w:pPr>
            <w:r w:rsidRPr="00333ECC">
              <w:rPr>
                <w:rFonts w:ascii="Arial" w:hAnsi="Arial" w:cs="Arial"/>
                <w:b/>
                <w:sz w:val="20"/>
                <w:szCs w:val="20"/>
              </w:rPr>
              <w:t>Общо платено към 31.12.2009 г.</w:t>
            </w:r>
          </w:p>
        </w:tc>
        <w:tc>
          <w:tcPr>
            <w:tcW w:w="1620" w:type="dxa"/>
            <w:tcBorders>
              <w:top w:val="double" w:sz="4" w:space="0" w:color="auto"/>
              <w:right w:val="double" w:sz="4" w:space="0" w:color="auto"/>
            </w:tcBorders>
            <w:noWrap/>
            <w:vAlign w:val="center"/>
          </w:tcPr>
          <w:p w:rsidR="007D7AFA" w:rsidRPr="00333ECC" w:rsidRDefault="007D7AFA" w:rsidP="007652AD">
            <w:pPr>
              <w:jc w:val="center"/>
              <w:rPr>
                <w:rFonts w:ascii="Arial" w:hAnsi="Arial" w:cs="Arial"/>
                <w:b/>
                <w:sz w:val="20"/>
                <w:szCs w:val="20"/>
              </w:rPr>
            </w:pPr>
            <w:r w:rsidRPr="00333ECC">
              <w:rPr>
                <w:rFonts w:ascii="Arial" w:hAnsi="Arial" w:cs="Arial"/>
                <w:b/>
                <w:sz w:val="20"/>
                <w:szCs w:val="20"/>
              </w:rPr>
              <w:t xml:space="preserve">Дял на разплатеното към </w:t>
            </w:r>
            <w:r>
              <w:rPr>
                <w:rFonts w:ascii="Arial" w:hAnsi="Arial" w:cs="Arial"/>
                <w:b/>
                <w:sz w:val="20"/>
                <w:szCs w:val="20"/>
              </w:rPr>
              <w:t xml:space="preserve">бюджета </w:t>
            </w:r>
            <w:r w:rsidRPr="00333ECC">
              <w:rPr>
                <w:rFonts w:ascii="Arial" w:hAnsi="Arial" w:cs="Arial"/>
                <w:b/>
                <w:sz w:val="20"/>
                <w:szCs w:val="20"/>
              </w:rPr>
              <w:t>31.12.2009 г, %</w:t>
            </w:r>
          </w:p>
        </w:tc>
      </w:tr>
      <w:tr w:rsidR="007D7AFA" w:rsidRPr="00333ECC" w:rsidTr="007652AD">
        <w:trPr>
          <w:trHeight w:val="255"/>
        </w:trPr>
        <w:tc>
          <w:tcPr>
            <w:tcW w:w="2355" w:type="dxa"/>
            <w:tcBorders>
              <w:left w:val="double" w:sz="4" w:space="0" w:color="auto"/>
            </w:tcBorders>
            <w:vAlign w:val="bottom"/>
          </w:tcPr>
          <w:p w:rsidR="007D7AFA" w:rsidRPr="00333ECC" w:rsidRDefault="007D7AFA" w:rsidP="007652AD">
            <w:pPr>
              <w:rPr>
                <w:rFonts w:ascii="Arial" w:hAnsi="Arial" w:cs="Arial"/>
                <w:sz w:val="20"/>
                <w:szCs w:val="20"/>
              </w:rPr>
            </w:pPr>
            <w:r w:rsidRPr="00333ECC">
              <w:rPr>
                <w:rFonts w:ascii="Arial" w:hAnsi="Arial" w:cs="Arial"/>
                <w:sz w:val="20"/>
                <w:szCs w:val="20"/>
              </w:rPr>
              <w:t>1. Инструмент Шенген</w:t>
            </w:r>
          </w:p>
        </w:tc>
        <w:tc>
          <w:tcPr>
            <w:tcW w:w="1620"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252 229 712</w:t>
            </w:r>
          </w:p>
        </w:tc>
        <w:tc>
          <w:tcPr>
            <w:tcW w:w="1620" w:type="dxa"/>
            <w:vAlign w:val="bottom"/>
          </w:tcPr>
          <w:p w:rsidR="007D7AFA" w:rsidRDefault="007D7AFA" w:rsidP="007652AD">
            <w:pPr>
              <w:ind w:right="110"/>
              <w:jc w:val="right"/>
              <w:rPr>
                <w:rFonts w:ascii="Arial" w:hAnsi="Arial" w:cs="Arial"/>
                <w:sz w:val="20"/>
                <w:szCs w:val="20"/>
              </w:rPr>
            </w:pPr>
            <w:r>
              <w:rPr>
                <w:rFonts w:ascii="Arial" w:hAnsi="Arial" w:cs="Arial"/>
                <w:sz w:val="20"/>
                <w:szCs w:val="20"/>
              </w:rPr>
              <w:t>181 358 955</w:t>
            </w:r>
          </w:p>
        </w:tc>
        <w:tc>
          <w:tcPr>
            <w:tcW w:w="1440" w:type="dxa"/>
            <w:vAlign w:val="bottom"/>
          </w:tcPr>
          <w:p w:rsidR="007D7AFA" w:rsidRDefault="007D7AFA" w:rsidP="007652AD">
            <w:pPr>
              <w:jc w:val="center"/>
              <w:rPr>
                <w:rFonts w:ascii="Arial" w:hAnsi="Arial" w:cs="Arial"/>
                <w:sz w:val="20"/>
                <w:szCs w:val="20"/>
              </w:rPr>
            </w:pPr>
            <w:r>
              <w:rPr>
                <w:rFonts w:ascii="Arial" w:hAnsi="Arial" w:cs="Arial"/>
                <w:sz w:val="20"/>
                <w:szCs w:val="20"/>
              </w:rPr>
              <w:t>71,9%</w:t>
            </w:r>
          </w:p>
        </w:tc>
        <w:tc>
          <w:tcPr>
            <w:tcW w:w="1440" w:type="dxa"/>
            <w:vAlign w:val="bottom"/>
          </w:tcPr>
          <w:p w:rsidR="007D7AFA" w:rsidRPr="00333ECC" w:rsidRDefault="007D7AFA" w:rsidP="007652AD">
            <w:pPr>
              <w:jc w:val="right"/>
              <w:rPr>
                <w:rFonts w:ascii="Arial" w:hAnsi="Arial" w:cs="Arial"/>
                <w:sz w:val="20"/>
                <w:szCs w:val="20"/>
              </w:rPr>
            </w:pPr>
            <w:r w:rsidRPr="00333ECC">
              <w:rPr>
                <w:rFonts w:ascii="Arial" w:hAnsi="Arial" w:cs="Arial"/>
                <w:sz w:val="20"/>
                <w:szCs w:val="20"/>
              </w:rPr>
              <w:t>46 838 737</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18,6%</w:t>
            </w:r>
          </w:p>
        </w:tc>
      </w:tr>
      <w:tr w:rsidR="007D7AFA" w:rsidRPr="00333ECC" w:rsidTr="007652AD">
        <w:trPr>
          <w:trHeight w:val="255"/>
        </w:trPr>
        <w:tc>
          <w:tcPr>
            <w:tcW w:w="2355" w:type="dxa"/>
            <w:tcBorders>
              <w:left w:val="double" w:sz="4" w:space="0" w:color="auto"/>
            </w:tcBorders>
            <w:vAlign w:val="bottom"/>
          </w:tcPr>
          <w:p w:rsidR="007D7AFA" w:rsidRPr="00333ECC" w:rsidRDefault="007D7AFA" w:rsidP="007652AD">
            <w:pPr>
              <w:rPr>
                <w:rFonts w:ascii="Arial" w:hAnsi="Arial" w:cs="Arial"/>
                <w:sz w:val="20"/>
                <w:szCs w:val="20"/>
              </w:rPr>
            </w:pPr>
            <w:r>
              <w:rPr>
                <w:rFonts w:ascii="Arial" w:hAnsi="Arial" w:cs="Arial"/>
                <w:sz w:val="20"/>
                <w:szCs w:val="20"/>
              </w:rPr>
              <w:t>2</w:t>
            </w:r>
            <w:r w:rsidRPr="00333ECC">
              <w:rPr>
                <w:rFonts w:ascii="Arial" w:hAnsi="Arial" w:cs="Arial"/>
                <w:sz w:val="20"/>
                <w:szCs w:val="20"/>
              </w:rPr>
              <w:t>. ИСПА</w:t>
            </w:r>
          </w:p>
        </w:tc>
        <w:tc>
          <w:tcPr>
            <w:tcW w:w="1620"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1 660 688 379</w:t>
            </w:r>
          </w:p>
        </w:tc>
        <w:tc>
          <w:tcPr>
            <w:tcW w:w="1620" w:type="dxa"/>
            <w:vAlign w:val="bottom"/>
          </w:tcPr>
          <w:p w:rsidR="007D7AFA" w:rsidRDefault="007D7AFA" w:rsidP="007652AD">
            <w:pPr>
              <w:ind w:right="110"/>
              <w:jc w:val="right"/>
              <w:rPr>
                <w:rFonts w:ascii="Arial" w:hAnsi="Arial" w:cs="Arial"/>
                <w:sz w:val="20"/>
                <w:szCs w:val="20"/>
              </w:rPr>
            </w:pPr>
            <w:r>
              <w:rPr>
                <w:rFonts w:ascii="Arial" w:hAnsi="Arial" w:cs="Arial"/>
                <w:sz w:val="20"/>
                <w:szCs w:val="20"/>
              </w:rPr>
              <w:t>1 455 756 241</w:t>
            </w:r>
          </w:p>
        </w:tc>
        <w:tc>
          <w:tcPr>
            <w:tcW w:w="1440" w:type="dxa"/>
            <w:vAlign w:val="bottom"/>
          </w:tcPr>
          <w:p w:rsidR="007D7AFA" w:rsidRDefault="007D7AFA" w:rsidP="007652AD">
            <w:pPr>
              <w:jc w:val="center"/>
              <w:rPr>
                <w:rFonts w:ascii="Arial" w:hAnsi="Arial" w:cs="Arial"/>
                <w:sz w:val="20"/>
                <w:szCs w:val="20"/>
              </w:rPr>
            </w:pPr>
            <w:r>
              <w:rPr>
                <w:rFonts w:ascii="Arial" w:hAnsi="Arial" w:cs="Arial"/>
                <w:sz w:val="20"/>
                <w:szCs w:val="20"/>
              </w:rPr>
              <w:t>87,7%</w:t>
            </w:r>
          </w:p>
        </w:tc>
        <w:tc>
          <w:tcPr>
            <w:tcW w:w="1440" w:type="dxa"/>
            <w:vAlign w:val="bottom"/>
          </w:tcPr>
          <w:p w:rsidR="007D7AFA" w:rsidRPr="00333ECC" w:rsidRDefault="007D7AFA" w:rsidP="007652AD">
            <w:pPr>
              <w:jc w:val="right"/>
              <w:rPr>
                <w:rFonts w:ascii="Arial" w:hAnsi="Arial" w:cs="Arial"/>
                <w:sz w:val="20"/>
                <w:szCs w:val="20"/>
              </w:rPr>
            </w:pPr>
            <w:r w:rsidRPr="00333ECC">
              <w:rPr>
                <w:rFonts w:ascii="Arial" w:hAnsi="Arial" w:cs="Arial"/>
                <w:sz w:val="20"/>
                <w:szCs w:val="20"/>
              </w:rPr>
              <w:t>675 843 664</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40,7%</w:t>
            </w:r>
          </w:p>
        </w:tc>
      </w:tr>
      <w:tr w:rsidR="007D7AFA" w:rsidRPr="00333ECC" w:rsidTr="007652AD">
        <w:trPr>
          <w:trHeight w:val="255"/>
        </w:trPr>
        <w:tc>
          <w:tcPr>
            <w:tcW w:w="2355" w:type="dxa"/>
            <w:tcBorders>
              <w:left w:val="double" w:sz="4" w:space="0" w:color="auto"/>
            </w:tcBorders>
            <w:vAlign w:val="bottom"/>
          </w:tcPr>
          <w:p w:rsidR="007D7AFA" w:rsidRPr="00333ECC" w:rsidRDefault="007D7AFA" w:rsidP="007652AD">
            <w:pPr>
              <w:rPr>
                <w:rFonts w:ascii="Arial" w:hAnsi="Arial" w:cs="Arial"/>
                <w:sz w:val="20"/>
                <w:szCs w:val="20"/>
              </w:rPr>
            </w:pPr>
            <w:r>
              <w:rPr>
                <w:rFonts w:ascii="Arial" w:hAnsi="Arial" w:cs="Arial"/>
                <w:sz w:val="20"/>
                <w:szCs w:val="20"/>
              </w:rPr>
              <w:t>3</w:t>
            </w:r>
            <w:r w:rsidRPr="00333ECC">
              <w:rPr>
                <w:rFonts w:ascii="Arial" w:hAnsi="Arial" w:cs="Arial"/>
                <w:sz w:val="20"/>
                <w:szCs w:val="20"/>
              </w:rPr>
              <w:t>. САПАРД</w:t>
            </w:r>
          </w:p>
        </w:tc>
        <w:tc>
          <w:tcPr>
            <w:tcW w:w="1620"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1 159 755 313</w:t>
            </w:r>
          </w:p>
        </w:tc>
        <w:tc>
          <w:tcPr>
            <w:tcW w:w="1620" w:type="dxa"/>
            <w:vAlign w:val="bottom"/>
          </w:tcPr>
          <w:p w:rsidR="007D7AFA" w:rsidRDefault="007D7AFA" w:rsidP="007652AD">
            <w:pPr>
              <w:ind w:right="110"/>
              <w:jc w:val="right"/>
              <w:rPr>
                <w:rFonts w:ascii="Arial" w:hAnsi="Arial" w:cs="Arial"/>
                <w:sz w:val="20"/>
                <w:szCs w:val="20"/>
              </w:rPr>
            </w:pPr>
            <w:r>
              <w:rPr>
                <w:rFonts w:ascii="Arial" w:hAnsi="Arial" w:cs="Arial"/>
                <w:sz w:val="20"/>
                <w:szCs w:val="20"/>
              </w:rPr>
              <w:t>909 483 689</w:t>
            </w:r>
          </w:p>
        </w:tc>
        <w:tc>
          <w:tcPr>
            <w:tcW w:w="1440" w:type="dxa"/>
            <w:vAlign w:val="bottom"/>
          </w:tcPr>
          <w:p w:rsidR="007D7AFA" w:rsidRDefault="007D7AFA" w:rsidP="007652AD">
            <w:pPr>
              <w:jc w:val="center"/>
              <w:rPr>
                <w:rFonts w:ascii="Arial" w:hAnsi="Arial" w:cs="Arial"/>
                <w:sz w:val="20"/>
                <w:szCs w:val="20"/>
              </w:rPr>
            </w:pPr>
            <w:r>
              <w:rPr>
                <w:rFonts w:ascii="Arial" w:hAnsi="Arial" w:cs="Arial"/>
                <w:sz w:val="20"/>
                <w:szCs w:val="20"/>
              </w:rPr>
              <w:t>78,4%</w:t>
            </w:r>
          </w:p>
        </w:tc>
        <w:tc>
          <w:tcPr>
            <w:tcW w:w="1440" w:type="dxa"/>
            <w:vAlign w:val="bottom"/>
          </w:tcPr>
          <w:p w:rsidR="007D7AFA" w:rsidRPr="00333ECC" w:rsidRDefault="007D7AFA" w:rsidP="007652AD">
            <w:pPr>
              <w:jc w:val="right"/>
              <w:rPr>
                <w:rFonts w:ascii="Arial" w:hAnsi="Arial" w:cs="Arial"/>
                <w:sz w:val="20"/>
                <w:szCs w:val="20"/>
              </w:rPr>
            </w:pPr>
            <w:r w:rsidRPr="00333ECC">
              <w:rPr>
                <w:rFonts w:ascii="Arial" w:hAnsi="Arial" w:cs="Arial"/>
                <w:sz w:val="20"/>
                <w:szCs w:val="20"/>
              </w:rPr>
              <w:t>881 444 058</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76,0%</w:t>
            </w:r>
          </w:p>
        </w:tc>
      </w:tr>
      <w:tr w:rsidR="007D7AFA" w:rsidRPr="00333ECC" w:rsidTr="007652AD">
        <w:trPr>
          <w:trHeight w:val="255"/>
        </w:trPr>
        <w:tc>
          <w:tcPr>
            <w:tcW w:w="2355" w:type="dxa"/>
            <w:tcBorders>
              <w:left w:val="double" w:sz="4" w:space="0" w:color="auto"/>
            </w:tcBorders>
            <w:vAlign w:val="bottom"/>
          </w:tcPr>
          <w:p w:rsidR="007D7AFA" w:rsidRPr="00333ECC" w:rsidRDefault="007D7AFA" w:rsidP="007652AD">
            <w:pPr>
              <w:rPr>
                <w:rFonts w:ascii="Arial" w:hAnsi="Arial" w:cs="Arial"/>
                <w:sz w:val="20"/>
                <w:szCs w:val="20"/>
              </w:rPr>
            </w:pPr>
            <w:r>
              <w:rPr>
                <w:rFonts w:ascii="Arial" w:hAnsi="Arial" w:cs="Arial"/>
                <w:sz w:val="20"/>
                <w:szCs w:val="20"/>
              </w:rPr>
              <w:t>4</w:t>
            </w:r>
            <w:r w:rsidRPr="00333ECC">
              <w:rPr>
                <w:rFonts w:ascii="Arial" w:hAnsi="Arial" w:cs="Arial"/>
                <w:sz w:val="20"/>
                <w:szCs w:val="20"/>
              </w:rPr>
              <w:t xml:space="preserve">. PHARE </w:t>
            </w:r>
          </w:p>
        </w:tc>
        <w:tc>
          <w:tcPr>
            <w:tcW w:w="1620"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1 407 055 000</w:t>
            </w:r>
          </w:p>
        </w:tc>
        <w:tc>
          <w:tcPr>
            <w:tcW w:w="1620" w:type="dxa"/>
            <w:vAlign w:val="bottom"/>
          </w:tcPr>
          <w:p w:rsidR="007D7AFA" w:rsidRDefault="007D7AFA" w:rsidP="007652AD">
            <w:pPr>
              <w:ind w:right="110"/>
              <w:jc w:val="right"/>
              <w:rPr>
                <w:rFonts w:ascii="Arial" w:hAnsi="Arial" w:cs="Arial"/>
                <w:sz w:val="20"/>
                <w:szCs w:val="20"/>
              </w:rPr>
            </w:pPr>
            <w:r>
              <w:rPr>
                <w:rFonts w:ascii="Arial" w:hAnsi="Arial" w:cs="Arial"/>
                <w:sz w:val="20"/>
                <w:szCs w:val="20"/>
              </w:rPr>
              <w:t>1 058 650 000</w:t>
            </w:r>
          </w:p>
        </w:tc>
        <w:tc>
          <w:tcPr>
            <w:tcW w:w="1440" w:type="dxa"/>
            <w:vAlign w:val="bottom"/>
          </w:tcPr>
          <w:p w:rsidR="007D7AFA" w:rsidRDefault="007D7AFA" w:rsidP="007652AD">
            <w:pPr>
              <w:jc w:val="center"/>
              <w:rPr>
                <w:rFonts w:ascii="Arial" w:hAnsi="Arial" w:cs="Arial"/>
                <w:sz w:val="20"/>
                <w:szCs w:val="20"/>
              </w:rPr>
            </w:pPr>
            <w:r>
              <w:rPr>
                <w:rFonts w:ascii="Arial" w:hAnsi="Arial" w:cs="Arial"/>
                <w:sz w:val="20"/>
                <w:szCs w:val="20"/>
              </w:rPr>
              <w:t>75,2%</w:t>
            </w:r>
          </w:p>
        </w:tc>
        <w:tc>
          <w:tcPr>
            <w:tcW w:w="1440" w:type="dxa"/>
            <w:vAlign w:val="bottom"/>
          </w:tcPr>
          <w:p w:rsidR="007D7AFA" w:rsidRPr="00333ECC" w:rsidRDefault="007D7AFA" w:rsidP="007652AD">
            <w:pPr>
              <w:jc w:val="right"/>
              <w:rPr>
                <w:rFonts w:ascii="Arial" w:hAnsi="Arial" w:cs="Arial"/>
                <w:sz w:val="20"/>
                <w:szCs w:val="20"/>
              </w:rPr>
            </w:pPr>
            <w:r w:rsidRPr="00333ECC">
              <w:rPr>
                <w:rFonts w:ascii="Arial" w:hAnsi="Arial" w:cs="Arial"/>
                <w:sz w:val="20"/>
                <w:szCs w:val="20"/>
              </w:rPr>
              <w:t>925 178 000</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65,8%</w:t>
            </w:r>
          </w:p>
        </w:tc>
      </w:tr>
      <w:tr w:rsidR="007D7AFA" w:rsidRPr="00333ECC" w:rsidTr="007652AD">
        <w:trPr>
          <w:trHeight w:val="255"/>
        </w:trPr>
        <w:tc>
          <w:tcPr>
            <w:tcW w:w="2355" w:type="dxa"/>
            <w:tcBorders>
              <w:left w:val="double" w:sz="4" w:space="0" w:color="auto"/>
            </w:tcBorders>
            <w:vAlign w:val="bottom"/>
          </w:tcPr>
          <w:p w:rsidR="007D7AFA" w:rsidRPr="00333ECC" w:rsidRDefault="007D7AFA" w:rsidP="007652AD">
            <w:pPr>
              <w:rPr>
                <w:rFonts w:ascii="Arial" w:hAnsi="Arial" w:cs="Arial"/>
                <w:sz w:val="20"/>
                <w:szCs w:val="20"/>
              </w:rPr>
            </w:pPr>
            <w:r>
              <w:rPr>
                <w:rFonts w:ascii="Arial" w:hAnsi="Arial" w:cs="Arial"/>
                <w:sz w:val="20"/>
                <w:szCs w:val="20"/>
              </w:rPr>
              <w:t>5</w:t>
            </w:r>
            <w:r w:rsidRPr="00333ECC">
              <w:rPr>
                <w:rFonts w:ascii="Arial" w:hAnsi="Arial" w:cs="Arial"/>
                <w:sz w:val="20"/>
                <w:szCs w:val="20"/>
              </w:rPr>
              <w:t>. Преходен финансов инструмент</w:t>
            </w:r>
          </w:p>
        </w:tc>
        <w:tc>
          <w:tcPr>
            <w:tcW w:w="1620"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31 488 000</w:t>
            </w:r>
          </w:p>
        </w:tc>
        <w:tc>
          <w:tcPr>
            <w:tcW w:w="1620" w:type="dxa"/>
            <w:vAlign w:val="bottom"/>
          </w:tcPr>
          <w:p w:rsidR="007D7AFA" w:rsidRDefault="007D7AFA" w:rsidP="007652AD">
            <w:pPr>
              <w:ind w:right="110"/>
              <w:jc w:val="right"/>
              <w:rPr>
                <w:rFonts w:ascii="Arial" w:hAnsi="Arial" w:cs="Arial"/>
                <w:sz w:val="20"/>
                <w:szCs w:val="20"/>
              </w:rPr>
            </w:pPr>
            <w:r>
              <w:rPr>
                <w:rFonts w:ascii="Arial" w:hAnsi="Arial" w:cs="Arial"/>
                <w:sz w:val="20"/>
                <w:szCs w:val="20"/>
              </w:rPr>
              <w:t>21 662 000</w:t>
            </w:r>
          </w:p>
        </w:tc>
        <w:tc>
          <w:tcPr>
            <w:tcW w:w="1440" w:type="dxa"/>
            <w:vAlign w:val="bottom"/>
          </w:tcPr>
          <w:p w:rsidR="007D7AFA" w:rsidRDefault="007D7AFA" w:rsidP="007652AD">
            <w:pPr>
              <w:jc w:val="center"/>
              <w:rPr>
                <w:rFonts w:ascii="Arial" w:hAnsi="Arial" w:cs="Arial"/>
                <w:sz w:val="20"/>
                <w:szCs w:val="20"/>
              </w:rPr>
            </w:pPr>
            <w:r>
              <w:rPr>
                <w:rFonts w:ascii="Arial" w:hAnsi="Arial" w:cs="Arial"/>
                <w:sz w:val="20"/>
                <w:szCs w:val="20"/>
              </w:rPr>
              <w:t>68,8%</w:t>
            </w:r>
          </w:p>
        </w:tc>
        <w:tc>
          <w:tcPr>
            <w:tcW w:w="1440" w:type="dxa"/>
            <w:vAlign w:val="bottom"/>
          </w:tcPr>
          <w:p w:rsidR="007D7AFA" w:rsidRPr="00333ECC" w:rsidRDefault="007D7AFA" w:rsidP="007652AD">
            <w:pPr>
              <w:jc w:val="right"/>
              <w:rPr>
                <w:rFonts w:ascii="Arial" w:hAnsi="Arial" w:cs="Arial"/>
                <w:sz w:val="20"/>
                <w:szCs w:val="20"/>
              </w:rPr>
            </w:pPr>
            <w:r w:rsidRPr="00333ECC">
              <w:rPr>
                <w:rFonts w:ascii="Arial" w:hAnsi="Arial" w:cs="Arial"/>
                <w:sz w:val="20"/>
                <w:szCs w:val="20"/>
              </w:rPr>
              <w:t>9 384 000</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29,8%</w:t>
            </w:r>
          </w:p>
        </w:tc>
      </w:tr>
      <w:tr w:rsidR="007D7AFA" w:rsidRPr="00333ECC" w:rsidTr="007652AD">
        <w:trPr>
          <w:trHeight w:val="510"/>
        </w:trPr>
        <w:tc>
          <w:tcPr>
            <w:tcW w:w="2355" w:type="dxa"/>
            <w:tcBorders>
              <w:left w:val="double" w:sz="4" w:space="0" w:color="auto"/>
              <w:bottom w:val="double" w:sz="4" w:space="0" w:color="auto"/>
            </w:tcBorders>
            <w:vAlign w:val="bottom"/>
          </w:tcPr>
          <w:p w:rsidR="007D7AFA" w:rsidRPr="00333ECC" w:rsidRDefault="007D7AFA" w:rsidP="007652AD">
            <w:pPr>
              <w:spacing w:after="120"/>
              <w:rPr>
                <w:rFonts w:ascii="Arial" w:hAnsi="Arial" w:cs="Arial"/>
                <w:b/>
                <w:bCs/>
                <w:sz w:val="20"/>
                <w:szCs w:val="20"/>
                <w:u w:val="single"/>
              </w:rPr>
            </w:pPr>
            <w:r>
              <w:rPr>
                <w:rFonts w:ascii="Arial" w:hAnsi="Arial" w:cs="Arial"/>
                <w:b/>
                <w:bCs/>
                <w:sz w:val="20"/>
                <w:szCs w:val="20"/>
                <w:u w:val="single"/>
              </w:rPr>
              <w:t>6</w:t>
            </w:r>
            <w:r w:rsidRPr="00333ECC">
              <w:rPr>
                <w:rFonts w:ascii="Arial" w:hAnsi="Arial" w:cs="Arial"/>
                <w:b/>
                <w:bCs/>
                <w:sz w:val="20"/>
                <w:szCs w:val="20"/>
                <w:u w:val="single"/>
              </w:rPr>
              <w:t>. ПРЕД</w:t>
            </w:r>
            <w:r>
              <w:rPr>
                <w:rFonts w:ascii="Arial" w:hAnsi="Arial" w:cs="Arial"/>
                <w:b/>
                <w:bCs/>
                <w:sz w:val="20"/>
                <w:szCs w:val="20"/>
                <w:u w:val="single"/>
              </w:rPr>
              <w:t>-</w:t>
            </w:r>
            <w:r w:rsidRPr="00333ECC">
              <w:rPr>
                <w:rFonts w:ascii="Arial" w:hAnsi="Arial" w:cs="Arial"/>
                <w:b/>
                <w:bCs/>
                <w:sz w:val="20"/>
                <w:szCs w:val="20"/>
                <w:u w:val="single"/>
              </w:rPr>
              <w:t xml:space="preserve">ПРИСЪЕДИНИТЕЛНИ И ПРЕХОДНИ (сума от 1 до </w:t>
            </w:r>
            <w:r>
              <w:rPr>
                <w:rFonts w:ascii="Arial" w:hAnsi="Arial" w:cs="Arial"/>
                <w:b/>
                <w:bCs/>
                <w:sz w:val="20"/>
                <w:szCs w:val="20"/>
                <w:u w:val="single"/>
              </w:rPr>
              <w:t>5</w:t>
            </w:r>
            <w:r w:rsidRPr="00333ECC">
              <w:rPr>
                <w:rFonts w:ascii="Arial" w:hAnsi="Arial" w:cs="Arial"/>
                <w:b/>
                <w:bCs/>
                <w:sz w:val="20"/>
                <w:szCs w:val="20"/>
                <w:u w:val="single"/>
              </w:rPr>
              <w:t>)</w:t>
            </w:r>
          </w:p>
        </w:tc>
        <w:tc>
          <w:tcPr>
            <w:tcW w:w="1620" w:type="dxa"/>
            <w:tcBorders>
              <w:bottom w:val="double" w:sz="4" w:space="0" w:color="auto"/>
            </w:tcBorders>
            <w:vAlign w:val="bottom"/>
          </w:tcPr>
          <w:p w:rsidR="007D7AFA" w:rsidRPr="00333ECC" w:rsidRDefault="007D7AFA" w:rsidP="007652AD">
            <w:pPr>
              <w:spacing w:after="120"/>
              <w:ind w:right="187"/>
              <w:jc w:val="right"/>
              <w:rPr>
                <w:rFonts w:ascii="Arial" w:hAnsi="Arial" w:cs="Arial"/>
                <w:b/>
                <w:bCs/>
                <w:sz w:val="20"/>
                <w:szCs w:val="20"/>
                <w:u w:val="single"/>
              </w:rPr>
            </w:pPr>
            <w:r w:rsidRPr="00333ECC">
              <w:rPr>
                <w:rFonts w:ascii="Arial" w:hAnsi="Arial" w:cs="Arial"/>
                <w:b/>
                <w:bCs/>
                <w:sz w:val="20"/>
                <w:szCs w:val="20"/>
                <w:u w:val="single"/>
              </w:rPr>
              <w:t>4 511 216 404</w:t>
            </w:r>
          </w:p>
        </w:tc>
        <w:tc>
          <w:tcPr>
            <w:tcW w:w="1620" w:type="dxa"/>
            <w:tcBorders>
              <w:bottom w:val="double" w:sz="4" w:space="0" w:color="auto"/>
            </w:tcBorders>
            <w:vAlign w:val="bottom"/>
          </w:tcPr>
          <w:p w:rsidR="007D7AFA" w:rsidRPr="00F019E6" w:rsidRDefault="007D7AFA" w:rsidP="007652AD">
            <w:pPr>
              <w:spacing w:after="120"/>
              <w:ind w:right="110"/>
              <w:jc w:val="right"/>
              <w:rPr>
                <w:rFonts w:ascii="Arial" w:hAnsi="Arial" w:cs="Arial"/>
                <w:b/>
                <w:bCs/>
                <w:sz w:val="20"/>
                <w:szCs w:val="20"/>
                <w:u w:val="single"/>
              </w:rPr>
            </w:pPr>
            <w:r w:rsidRPr="00F019E6">
              <w:rPr>
                <w:rFonts w:ascii="Arial" w:hAnsi="Arial" w:cs="Arial"/>
                <w:b/>
                <w:bCs/>
                <w:sz w:val="20"/>
                <w:szCs w:val="20"/>
                <w:u w:val="single"/>
              </w:rPr>
              <w:t>3 626 910 885</w:t>
            </w:r>
          </w:p>
        </w:tc>
        <w:tc>
          <w:tcPr>
            <w:tcW w:w="1440" w:type="dxa"/>
            <w:tcBorders>
              <w:bottom w:val="double" w:sz="4" w:space="0" w:color="auto"/>
            </w:tcBorders>
            <w:vAlign w:val="bottom"/>
          </w:tcPr>
          <w:p w:rsidR="007D7AFA" w:rsidRPr="00F019E6" w:rsidRDefault="007D7AFA" w:rsidP="007652AD">
            <w:pPr>
              <w:spacing w:after="120"/>
              <w:ind w:right="187"/>
              <w:jc w:val="right"/>
              <w:rPr>
                <w:rFonts w:ascii="Arial" w:hAnsi="Arial" w:cs="Arial"/>
                <w:b/>
                <w:bCs/>
                <w:sz w:val="20"/>
                <w:szCs w:val="20"/>
                <w:u w:val="single"/>
              </w:rPr>
            </w:pPr>
            <w:r w:rsidRPr="00F019E6">
              <w:rPr>
                <w:rFonts w:ascii="Arial" w:hAnsi="Arial" w:cs="Arial"/>
                <w:b/>
                <w:bCs/>
                <w:sz w:val="20"/>
                <w:szCs w:val="20"/>
                <w:u w:val="single"/>
              </w:rPr>
              <w:t>80,4%</w:t>
            </w:r>
          </w:p>
        </w:tc>
        <w:tc>
          <w:tcPr>
            <w:tcW w:w="1440" w:type="dxa"/>
            <w:tcBorders>
              <w:bottom w:val="double" w:sz="4" w:space="0" w:color="auto"/>
            </w:tcBorders>
            <w:vAlign w:val="bottom"/>
          </w:tcPr>
          <w:p w:rsidR="007D7AFA" w:rsidRPr="00333ECC" w:rsidRDefault="007D7AFA" w:rsidP="007652AD">
            <w:pPr>
              <w:spacing w:after="120"/>
              <w:jc w:val="right"/>
              <w:rPr>
                <w:rFonts w:ascii="Arial" w:hAnsi="Arial" w:cs="Arial"/>
                <w:b/>
                <w:bCs/>
                <w:sz w:val="20"/>
                <w:szCs w:val="20"/>
                <w:u w:val="single"/>
              </w:rPr>
            </w:pPr>
            <w:r w:rsidRPr="00333ECC">
              <w:rPr>
                <w:rFonts w:ascii="Arial" w:hAnsi="Arial" w:cs="Arial"/>
                <w:b/>
                <w:bCs/>
                <w:sz w:val="20"/>
                <w:szCs w:val="20"/>
                <w:u w:val="single"/>
              </w:rPr>
              <w:t>2 538 688 459</w:t>
            </w:r>
          </w:p>
        </w:tc>
        <w:tc>
          <w:tcPr>
            <w:tcW w:w="1620" w:type="dxa"/>
            <w:tcBorders>
              <w:bottom w:val="double" w:sz="4" w:space="0" w:color="auto"/>
              <w:right w:val="double" w:sz="4" w:space="0" w:color="auto"/>
            </w:tcBorders>
            <w:noWrap/>
            <w:vAlign w:val="bottom"/>
          </w:tcPr>
          <w:p w:rsidR="007D7AFA" w:rsidRPr="00333ECC" w:rsidRDefault="007D7AFA" w:rsidP="007652AD">
            <w:pPr>
              <w:tabs>
                <w:tab w:val="left" w:pos="1583"/>
              </w:tabs>
              <w:spacing w:after="120"/>
              <w:ind w:right="533"/>
              <w:jc w:val="right"/>
              <w:rPr>
                <w:rFonts w:ascii="Arial" w:hAnsi="Arial" w:cs="Arial"/>
                <w:b/>
                <w:bCs/>
                <w:sz w:val="20"/>
                <w:szCs w:val="20"/>
                <w:u w:val="single"/>
              </w:rPr>
            </w:pPr>
            <w:r w:rsidRPr="00333ECC">
              <w:rPr>
                <w:rFonts w:ascii="Arial" w:hAnsi="Arial" w:cs="Arial"/>
                <w:b/>
                <w:bCs/>
                <w:sz w:val="20"/>
                <w:szCs w:val="20"/>
                <w:u w:val="single"/>
              </w:rPr>
              <w:t>56,3%</w:t>
            </w:r>
          </w:p>
        </w:tc>
      </w:tr>
    </w:tbl>
    <w:p w:rsidR="007D7AFA" w:rsidRDefault="007D7AFA" w:rsidP="00662A4E">
      <w:pPr>
        <w:ind w:firstLine="720"/>
        <w:jc w:val="both"/>
        <w:rPr>
          <w:rFonts w:ascii="Times New Roman" w:hAnsi="Times New Roman"/>
          <w:sz w:val="26"/>
          <w:szCs w:val="26"/>
        </w:rPr>
      </w:pPr>
    </w:p>
    <w:p w:rsidR="007D7AFA" w:rsidRDefault="007D7AFA" w:rsidP="006D000A">
      <w:pPr>
        <w:numPr>
          <w:ilvl w:val="1"/>
          <w:numId w:val="40"/>
        </w:numPr>
        <w:ind w:left="567" w:hanging="567"/>
        <w:jc w:val="both"/>
        <w:rPr>
          <w:rFonts w:ascii="Times New Roman" w:hAnsi="Times New Roman"/>
          <w:sz w:val="26"/>
          <w:szCs w:val="26"/>
        </w:rPr>
      </w:pPr>
      <w:r w:rsidRPr="006D000A">
        <w:rPr>
          <w:rFonts w:ascii="Times New Roman" w:hAnsi="Times New Roman"/>
          <w:sz w:val="26"/>
          <w:szCs w:val="26"/>
        </w:rPr>
        <w:t>Оперативни програми и програми за развитие на селските райони и рибарството (в евро)</w:t>
      </w:r>
    </w:p>
    <w:p w:rsidR="007D7AFA" w:rsidRDefault="007D7AFA" w:rsidP="00662A4E">
      <w:pPr>
        <w:ind w:firstLine="720"/>
        <w:jc w:val="both"/>
        <w:rPr>
          <w:rFonts w:ascii="Times New Roman" w:hAnsi="Times New Roman"/>
          <w:sz w:val="26"/>
          <w:szCs w:val="26"/>
        </w:rPr>
      </w:pPr>
    </w:p>
    <w:tbl>
      <w:tblPr>
        <w:tblW w:w="100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55"/>
        <w:gridCol w:w="1659"/>
        <w:gridCol w:w="1581"/>
        <w:gridCol w:w="1440"/>
        <w:gridCol w:w="1440"/>
        <w:gridCol w:w="1620"/>
      </w:tblGrid>
      <w:tr w:rsidR="007D7AFA" w:rsidRPr="00333ECC" w:rsidTr="007652AD">
        <w:trPr>
          <w:trHeight w:val="765"/>
          <w:tblHeader/>
        </w:trPr>
        <w:tc>
          <w:tcPr>
            <w:tcW w:w="2355" w:type="dxa"/>
            <w:tcBorders>
              <w:top w:val="double" w:sz="4" w:space="0" w:color="auto"/>
              <w:left w:val="double" w:sz="4" w:space="0" w:color="auto"/>
            </w:tcBorders>
            <w:vAlign w:val="center"/>
          </w:tcPr>
          <w:p w:rsidR="007D7AFA" w:rsidRPr="00333ECC" w:rsidRDefault="007D7AFA" w:rsidP="007652AD">
            <w:pPr>
              <w:jc w:val="center"/>
              <w:rPr>
                <w:rFonts w:ascii="Arial" w:hAnsi="Arial" w:cs="Arial"/>
                <w:b/>
                <w:sz w:val="20"/>
                <w:szCs w:val="20"/>
              </w:rPr>
            </w:pPr>
          </w:p>
        </w:tc>
        <w:tc>
          <w:tcPr>
            <w:tcW w:w="1659" w:type="dxa"/>
            <w:tcBorders>
              <w:top w:val="double" w:sz="4" w:space="0" w:color="auto"/>
            </w:tcBorders>
            <w:vAlign w:val="center"/>
          </w:tcPr>
          <w:p w:rsidR="007D7AFA" w:rsidRPr="00333ECC" w:rsidRDefault="007D7AFA" w:rsidP="007652AD">
            <w:pPr>
              <w:jc w:val="center"/>
              <w:rPr>
                <w:rFonts w:ascii="Arial" w:hAnsi="Arial" w:cs="Arial"/>
                <w:b/>
                <w:sz w:val="20"/>
                <w:szCs w:val="20"/>
              </w:rPr>
            </w:pPr>
            <w:r w:rsidRPr="00333ECC">
              <w:rPr>
                <w:rFonts w:ascii="Arial" w:hAnsi="Arial" w:cs="Arial"/>
                <w:b/>
                <w:sz w:val="20"/>
                <w:szCs w:val="20"/>
              </w:rPr>
              <w:t>Прогнозно разпределение на бюджета за 2007-2009 г.</w:t>
            </w:r>
          </w:p>
        </w:tc>
        <w:tc>
          <w:tcPr>
            <w:tcW w:w="1581" w:type="dxa"/>
            <w:tcBorders>
              <w:top w:val="double" w:sz="4" w:space="0" w:color="auto"/>
            </w:tcBorders>
            <w:vAlign w:val="center"/>
          </w:tcPr>
          <w:p w:rsidR="007D7AFA" w:rsidRDefault="007D7AFA" w:rsidP="007652AD">
            <w:pPr>
              <w:jc w:val="center"/>
              <w:rPr>
                <w:rFonts w:ascii="Arial" w:hAnsi="Arial" w:cs="Arial"/>
                <w:b/>
                <w:sz w:val="20"/>
                <w:szCs w:val="20"/>
              </w:rPr>
            </w:pPr>
            <w:r>
              <w:rPr>
                <w:rFonts w:ascii="Arial" w:hAnsi="Arial" w:cs="Arial"/>
                <w:b/>
                <w:sz w:val="20"/>
                <w:szCs w:val="20"/>
              </w:rPr>
              <w:t>Договорено</w:t>
            </w:r>
          </w:p>
        </w:tc>
        <w:tc>
          <w:tcPr>
            <w:tcW w:w="1440" w:type="dxa"/>
            <w:tcBorders>
              <w:top w:val="double" w:sz="4" w:space="0" w:color="auto"/>
            </w:tcBorders>
            <w:vAlign w:val="center"/>
          </w:tcPr>
          <w:p w:rsidR="007D7AFA" w:rsidRDefault="007D7AFA" w:rsidP="007652AD">
            <w:pPr>
              <w:jc w:val="center"/>
              <w:rPr>
                <w:rFonts w:ascii="Arial" w:hAnsi="Arial" w:cs="Arial"/>
                <w:b/>
                <w:sz w:val="20"/>
                <w:szCs w:val="20"/>
              </w:rPr>
            </w:pPr>
            <w:r>
              <w:rPr>
                <w:rFonts w:ascii="Arial" w:hAnsi="Arial" w:cs="Arial"/>
                <w:b/>
                <w:sz w:val="20"/>
                <w:szCs w:val="20"/>
              </w:rPr>
              <w:t>Дял на договорено към бюджета, %</w:t>
            </w:r>
          </w:p>
        </w:tc>
        <w:tc>
          <w:tcPr>
            <w:tcW w:w="1440" w:type="dxa"/>
            <w:tcBorders>
              <w:top w:val="double" w:sz="4" w:space="0" w:color="auto"/>
            </w:tcBorders>
            <w:vAlign w:val="center"/>
          </w:tcPr>
          <w:p w:rsidR="007D7AFA" w:rsidRPr="00333ECC" w:rsidRDefault="007D7AFA" w:rsidP="007652AD">
            <w:pPr>
              <w:jc w:val="center"/>
              <w:rPr>
                <w:rFonts w:ascii="Arial" w:hAnsi="Arial" w:cs="Arial"/>
                <w:b/>
                <w:sz w:val="20"/>
                <w:szCs w:val="20"/>
              </w:rPr>
            </w:pPr>
            <w:r w:rsidRPr="00333ECC">
              <w:rPr>
                <w:rFonts w:ascii="Arial" w:hAnsi="Arial" w:cs="Arial"/>
                <w:b/>
                <w:sz w:val="20"/>
                <w:szCs w:val="20"/>
              </w:rPr>
              <w:t>Общо платено към 31.12.2009 г.</w:t>
            </w:r>
          </w:p>
        </w:tc>
        <w:tc>
          <w:tcPr>
            <w:tcW w:w="1620" w:type="dxa"/>
            <w:tcBorders>
              <w:top w:val="double" w:sz="4" w:space="0" w:color="auto"/>
              <w:right w:val="double" w:sz="4" w:space="0" w:color="auto"/>
            </w:tcBorders>
            <w:vAlign w:val="center"/>
          </w:tcPr>
          <w:p w:rsidR="007D7AFA" w:rsidRPr="00333ECC" w:rsidRDefault="007D7AFA" w:rsidP="007652AD">
            <w:pPr>
              <w:jc w:val="center"/>
              <w:rPr>
                <w:rFonts w:ascii="Arial" w:hAnsi="Arial" w:cs="Arial"/>
                <w:b/>
                <w:sz w:val="20"/>
                <w:szCs w:val="20"/>
              </w:rPr>
            </w:pPr>
            <w:r w:rsidRPr="00333ECC">
              <w:rPr>
                <w:rFonts w:ascii="Arial" w:hAnsi="Arial" w:cs="Arial"/>
                <w:b/>
                <w:sz w:val="20"/>
                <w:szCs w:val="20"/>
              </w:rPr>
              <w:t>Дял на разплатеното към 31.12.2009 г, %</w:t>
            </w:r>
          </w:p>
        </w:tc>
      </w:tr>
      <w:tr w:rsidR="007D7AFA" w:rsidRPr="00333ECC" w:rsidTr="007652AD">
        <w:trPr>
          <w:trHeight w:val="255"/>
        </w:trPr>
        <w:tc>
          <w:tcPr>
            <w:tcW w:w="2355" w:type="dxa"/>
            <w:tcBorders>
              <w:left w:val="double" w:sz="4" w:space="0" w:color="auto"/>
              <w:bottom w:val="nil"/>
            </w:tcBorders>
            <w:vAlign w:val="bottom"/>
          </w:tcPr>
          <w:p w:rsidR="007D7AFA" w:rsidRPr="00333ECC" w:rsidRDefault="007D7AFA" w:rsidP="007652AD">
            <w:pPr>
              <w:rPr>
                <w:rFonts w:ascii="Arial" w:hAnsi="Arial" w:cs="Arial"/>
                <w:sz w:val="20"/>
                <w:szCs w:val="20"/>
              </w:rPr>
            </w:pPr>
          </w:p>
        </w:tc>
        <w:tc>
          <w:tcPr>
            <w:tcW w:w="1659" w:type="dxa"/>
            <w:tcBorders>
              <w:bottom w:val="nil"/>
            </w:tcBorders>
            <w:vAlign w:val="bottom"/>
          </w:tcPr>
          <w:p w:rsidR="007D7AFA" w:rsidRPr="00333ECC" w:rsidRDefault="007D7AFA" w:rsidP="007652AD">
            <w:pPr>
              <w:rPr>
                <w:rFonts w:ascii="Arial" w:hAnsi="Arial" w:cs="Arial"/>
                <w:sz w:val="20"/>
                <w:szCs w:val="20"/>
              </w:rPr>
            </w:pPr>
          </w:p>
        </w:tc>
        <w:tc>
          <w:tcPr>
            <w:tcW w:w="1581" w:type="dxa"/>
            <w:tcBorders>
              <w:bottom w:val="nil"/>
            </w:tcBorders>
          </w:tcPr>
          <w:p w:rsidR="007D7AFA" w:rsidRPr="00333ECC" w:rsidRDefault="007D7AFA" w:rsidP="007652AD">
            <w:pPr>
              <w:rPr>
                <w:rFonts w:ascii="Arial" w:hAnsi="Arial" w:cs="Arial"/>
                <w:sz w:val="20"/>
                <w:szCs w:val="20"/>
              </w:rPr>
            </w:pPr>
          </w:p>
        </w:tc>
        <w:tc>
          <w:tcPr>
            <w:tcW w:w="1440" w:type="dxa"/>
            <w:tcBorders>
              <w:bottom w:val="nil"/>
            </w:tcBorders>
            <w:noWrap/>
            <w:vAlign w:val="bottom"/>
          </w:tcPr>
          <w:p w:rsidR="007D7AFA" w:rsidRPr="00333ECC" w:rsidRDefault="007D7AFA" w:rsidP="007652AD">
            <w:pPr>
              <w:rPr>
                <w:rFonts w:ascii="Arial" w:hAnsi="Arial" w:cs="Arial"/>
                <w:sz w:val="20"/>
                <w:szCs w:val="20"/>
              </w:rPr>
            </w:pPr>
          </w:p>
        </w:tc>
        <w:tc>
          <w:tcPr>
            <w:tcW w:w="1440" w:type="dxa"/>
            <w:tcBorders>
              <w:bottom w:val="nil"/>
            </w:tcBorders>
            <w:vAlign w:val="bottom"/>
          </w:tcPr>
          <w:p w:rsidR="007D7AFA" w:rsidRPr="00333ECC" w:rsidRDefault="007D7AFA" w:rsidP="007652AD">
            <w:pPr>
              <w:rPr>
                <w:rFonts w:ascii="Arial" w:hAnsi="Arial" w:cs="Arial"/>
                <w:sz w:val="20"/>
                <w:szCs w:val="20"/>
              </w:rPr>
            </w:pPr>
          </w:p>
        </w:tc>
        <w:tc>
          <w:tcPr>
            <w:tcW w:w="1620" w:type="dxa"/>
            <w:tcBorders>
              <w:bottom w:val="nil"/>
              <w:right w:val="double" w:sz="4" w:space="0" w:color="auto"/>
            </w:tcBorders>
            <w:noWrap/>
            <w:vAlign w:val="bottom"/>
          </w:tcPr>
          <w:p w:rsidR="007D7AFA" w:rsidRPr="00333ECC" w:rsidRDefault="007D7AFA" w:rsidP="007652AD">
            <w:pPr>
              <w:jc w:val="center"/>
              <w:rPr>
                <w:rFonts w:ascii="Arial" w:hAnsi="Arial" w:cs="Arial"/>
                <w:sz w:val="20"/>
                <w:szCs w:val="20"/>
              </w:rPr>
            </w:pPr>
          </w:p>
        </w:tc>
      </w:tr>
      <w:tr w:rsidR="007D7AFA" w:rsidRPr="00333ECC" w:rsidTr="007652AD">
        <w:trPr>
          <w:trHeight w:val="255"/>
        </w:trPr>
        <w:tc>
          <w:tcPr>
            <w:tcW w:w="2355" w:type="dxa"/>
            <w:tcBorders>
              <w:top w:val="nil"/>
              <w:left w:val="double" w:sz="4" w:space="0" w:color="auto"/>
            </w:tcBorders>
            <w:vAlign w:val="bottom"/>
          </w:tcPr>
          <w:p w:rsidR="007D7AFA" w:rsidRPr="00333ECC" w:rsidRDefault="007D7AFA" w:rsidP="007652AD">
            <w:pPr>
              <w:rPr>
                <w:rFonts w:ascii="Arial" w:hAnsi="Arial" w:cs="Arial"/>
                <w:sz w:val="20"/>
                <w:szCs w:val="20"/>
              </w:rPr>
            </w:pPr>
            <w:r w:rsidRPr="00333ECC">
              <w:rPr>
                <w:rFonts w:ascii="Arial" w:hAnsi="Arial" w:cs="Arial"/>
                <w:sz w:val="20"/>
                <w:szCs w:val="20"/>
              </w:rPr>
              <w:t>1. ОП "Транспорт"</w:t>
            </w:r>
          </w:p>
        </w:tc>
        <w:tc>
          <w:tcPr>
            <w:tcW w:w="1659" w:type="dxa"/>
            <w:tcBorders>
              <w:top w:val="nil"/>
            </w:tcBorders>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530 791 682</w:t>
            </w:r>
          </w:p>
        </w:tc>
        <w:tc>
          <w:tcPr>
            <w:tcW w:w="1581" w:type="dxa"/>
            <w:tcBorders>
              <w:top w:val="nil"/>
            </w:tcBorders>
            <w:vAlign w:val="bottom"/>
          </w:tcPr>
          <w:p w:rsidR="007D7AFA" w:rsidRDefault="007D7AFA" w:rsidP="007652AD">
            <w:pPr>
              <w:ind w:right="110"/>
              <w:jc w:val="right"/>
              <w:rPr>
                <w:rFonts w:ascii="Arial" w:hAnsi="Arial" w:cs="Arial"/>
                <w:sz w:val="20"/>
                <w:szCs w:val="20"/>
              </w:rPr>
            </w:pPr>
            <w:r>
              <w:rPr>
                <w:rFonts w:ascii="Arial" w:hAnsi="Arial" w:cs="Arial"/>
                <w:sz w:val="20"/>
                <w:szCs w:val="20"/>
              </w:rPr>
              <w:t>231 300 000</w:t>
            </w:r>
          </w:p>
        </w:tc>
        <w:tc>
          <w:tcPr>
            <w:tcW w:w="1440" w:type="dxa"/>
            <w:tcBorders>
              <w:top w:val="nil"/>
            </w:tcBorders>
            <w:noWrap/>
            <w:vAlign w:val="bottom"/>
          </w:tcPr>
          <w:p w:rsidR="007D7AFA" w:rsidRDefault="007D7AFA" w:rsidP="007652AD">
            <w:pPr>
              <w:jc w:val="center"/>
              <w:rPr>
                <w:rFonts w:ascii="Arial" w:hAnsi="Arial" w:cs="Arial"/>
                <w:sz w:val="20"/>
                <w:szCs w:val="20"/>
              </w:rPr>
            </w:pPr>
            <w:r>
              <w:rPr>
                <w:rFonts w:ascii="Arial" w:hAnsi="Arial" w:cs="Arial"/>
                <w:sz w:val="20"/>
                <w:szCs w:val="20"/>
              </w:rPr>
              <w:t>43,6%</w:t>
            </w:r>
          </w:p>
        </w:tc>
        <w:tc>
          <w:tcPr>
            <w:tcW w:w="1440" w:type="dxa"/>
            <w:tcBorders>
              <w:top w:val="nil"/>
            </w:tcBorders>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35 784 874</w:t>
            </w:r>
          </w:p>
        </w:tc>
        <w:tc>
          <w:tcPr>
            <w:tcW w:w="1620" w:type="dxa"/>
            <w:tcBorders>
              <w:top w:val="nil"/>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6,7%</w:t>
            </w:r>
          </w:p>
        </w:tc>
      </w:tr>
      <w:tr w:rsidR="007D7AFA" w:rsidRPr="00333ECC" w:rsidTr="007652AD">
        <w:trPr>
          <w:trHeight w:val="255"/>
        </w:trPr>
        <w:tc>
          <w:tcPr>
            <w:tcW w:w="2355" w:type="dxa"/>
            <w:tcBorders>
              <w:left w:val="double" w:sz="4" w:space="0" w:color="auto"/>
            </w:tcBorders>
            <w:vAlign w:val="bottom"/>
          </w:tcPr>
          <w:p w:rsidR="007D7AFA" w:rsidRPr="00333ECC" w:rsidRDefault="007D7AFA" w:rsidP="007652AD">
            <w:pPr>
              <w:rPr>
                <w:rFonts w:ascii="Arial" w:hAnsi="Arial" w:cs="Arial"/>
                <w:sz w:val="20"/>
                <w:szCs w:val="20"/>
              </w:rPr>
            </w:pPr>
            <w:r w:rsidRPr="00333ECC">
              <w:rPr>
                <w:rFonts w:ascii="Arial" w:hAnsi="Arial" w:cs="Arial"/>
                <w:sz w:val="20"/>
                <w:szCs w:val="20"/>
              </w:rPr>
              <w:t>2. ОП "Околна среда"</w:t>
            </w:r>
          </w:p>
        </w:tc>
        <w:tc>
          <w:tcPr>
            <w:tcW w:w="1659"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478 791 219</w:t>
            </w:r>
          </w:p>
        </w:tc>
        <w:tc>
          <w:tcPr>
            <w:tcW w:w="1581" w:type="dxa"/>
            <w:vAlign w:val="bottom"/>
          </w:tcPr>
          <w:p w:rsidR="007D7AFA" w:rsidRDefault="007D7AFA" w:rsidP="007652AD">
            <w:pPr>
              <w:ind w:right="110"/>
              <w:jc w:val="right"/>
              <w:rPr>
                <w:rFonts w:ascii="Arial" w:hAnsi="Arial" w:cs="Arial"/>
                <w:sz w:val="20"/>
                <w:szCs w:val="20"/>
              </w:rPr>
            </w:pPr>
            <w:r>
              <w:rPr>
                <w:rFonts w:ascii="Arial" w:hAnsi="Arial" w:cs="Arial"/>
                <w:sz w:val="20"/>
                <w:szCs w:val="20"/>
              </w:rPr>
              <w:t>402 200 000</w:t>
            </w:r>
          </w:p>
        </w:tc>
        <w:tc>
          <w:tcPr>
            <w:tcW w:w="1440" w:type="dxa"/>
            <w:noWrap/>
            <w:vAlign w:val="bottom"/>
          </w:tcPr>
          <w:p w:rsidR="007D7AFA" w:rsidRDefault="007D7AFA" w:rsidP="007652AD">
            <w:pPr>
              <w:jc w:val="center"/>
              <w:rPr>
                <w:rFonts w:ascii="Arial" w:hAnsi="Arial" w:cs="Arial"/>
                <w:sz w:val="20"/>
                <w:szCs w:val="20"/>
              </w:rPr>
            </w:pPr>
            <w:r>
              <w:rPr>
                <w:rFonts w:ascii="Arial" w:hAnsi="Arial" w:cs="Arial"/>
                <w:sz w:val="20"/>
                <w:szCs w:val="20"/>
              </w:rPr>
              <w:t>84,0%</w:t>
            </w:r>
          </w:p>
        </w:tc>
        <w:tc>
          <w:tcPr>
            <w:tcW w:w="1440"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39 712 341</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8,3%</w:t>
            </w:r>
          </w:p>
        </w:tc>
      </w:tr>
      <w:tr w:rsidR="007D7AFA" w:rsidRPr="00333ECC" w:rsidTr="007652AD">
        <w:trPr>
          <w:trHeight w:val="255"/>
        </w:trPr>
        <w:tc>
          <w:tcPr>
            <w:tcW w:w="2355" w:type="dxa"/>
            <w:tcBorders>
              <w:left w:val="double" w:sz="4" w:space="0" w:color="auto"/>
            </w:tcBorders>
            <w:vAlign w:val="bottom"/>
          </w:tcPr>
          <w:p w:rsidR="007D7AFA" w:rsidRPr="00333ECC" w:rsidRDefault="007D7AFA" w:rsidP="007652AD">
            <w:pPr>
              <w:rPr>
                <w:rFonts w:ascii="Arial" w:hAnsi="Arial" w:cs="Arial"/>
                <w:sz w:val="20"/>
                <w:szCs w:val="20"/>
              </w:rPr>
            </w:pPr>
            <w:r w:rsidRPr="00333ECC">
              <w:rPr>
                <w:rFonts w:ascii="Arial" w:hAnsi="Arial" w:cs="Arial"/>
                <w:sz w:val="20"/>
                <w:szCs w:val="20"/>
              </w:rPr>
              <w:t>3. ОП "Регионално развитие"</w:t>
            </w:r>
          </w:p>
        </w:tc>
        <w:tc>
          <w:tcPr>
            <w:tcW w:w="1659"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441 189 720</w:t>
            </w:r>
          </w:p>
        </w:tc>
        <w:tc>
          <w:tcPr>
            <w:tcW w:w="1581" w:type="dxa"/>
            <w:vAlign w:val="bottom"/>
          </w:tcPr>
          <w:p w:rsidR="007D7AFA" w:rsidRDefault="007D7AFA" w:rsidP="007652AD">
            <w:pPr>
              <w:ind w:right="110"/>
              <w:jc w:val="right"/>
              <w:rPr>
                <w:rFonts w:ascii="Arial" w:hAnsi="Arial" w:cs="Arial"/>
                <w:sz w:val="20"/>
                <w:szCs w:val="20"/>
              </w:rPr>
            </w:pPr>
            <w:r>
              <w:rPr>
                <w:rFonts w:ascii="Arial" w:hAnsi="Arial" w:cs="Arial"/>
                <w:sz w:val="20"/>
                <w:szCs w:val="20"/>
              </w:rPr>
              <w:t>287 400 000</w:t>
            </w:r>
          </w:p>
        </w:tc>
        <w:tc>
          <w:tcPr>
            <w:tcW w:w="1440" w:type="dxa"/>
            <w:noWrap/>
            <w:vAlign w:val="bottom"/>
          </w:tcPr>
          <w:p w:rsidR="007D7AFA" w:rsidRDefault="007D7AFA" w:rsidP="007652AD">
            <w:pPr>
              <w:jc w:val="center"/>
              <w:rPr>
                <w:rFonts w:ascii="Arial" w:hAnsi="Arial" w:cs="Arial"/>
                <w:sz w:val="20"/>
                <w:szCs w:val="20"/>
              </w:rPr>
            </w:pPr>
            <w:r>
              <w:rPr>
                <w:rFonts w:ascii="Arial" w:hAnsi="Arial" w:cs="Arial"/>
                <w:sz w:val="20"/>
                <w:szCs w:val="20"/>
              </w:rPr>
              <w:t>65,1%</w:t>
            </w:r>
          </w:p>
        </w:tc>
        <w:tc>
          <w:tcPr>
            <w:tcW w:w="1440"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26 424 445</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6,0%</w:t>
            </w:r>
          </w:p>
        </w:tc>
      </w:tr>
      <w:tr w:rsidR="007D7AFA" w:rsidRPr="00333ECC" w:rsidTr="007652AD">
        <w:trPr>
          <w:trHeight w:val="255"/>
        </w:trPr>
        <w:tc>
          <w:tcPr>
            <w:tcW w:w="2355" w:type="dxa"/>
            <w:tcBorders>
              <w:left w:val="double" w:sz="4" w:space="0" w:color="auto"/>
            </w:tcBorders>
            <w:vAlign w:val="bottom"/>
          </w:tcPr>
          <w:p w:rsidR="007D7AFA" w:rsidRPr="00333ECC" w:rsidRDefault="007D7AFA" w:rsidP="007652AD">
            <w:pPr>
              <w:rPr>
                <w:rFonts w:ascii="Arial" w:hAnsi="Arial" w:cs="Arial"/>
                <w:sz w:val="20"/>
                <w:szCs w:val="20"/>
              </w:rPr>
            </w:pPr>
            <w:r w:rsidRPr="00333ECC">
              <w:rPr>
                <w:rFonts w:ascii="Arial" w:hAnsi="Arial" w:cs="Arial"/>
                <w:sz w:val="20"/>
                <w:szCs w:val="20"/>
              </w:rPr>
              <w:t>4. ОП "Развитие на човешките ресурси"</w:t>
            </w:r>
          </w:p>
        </w:tc>
        <w:tc>
          <w:tcPr>
            <w:tcW w:w="1659"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334 450 271</w:t>
            </w:r>
          </w:p>
        </w:tc>
        <w:tc>
          <w:tcPr>
            <w:tcW w:w="1581" w:type="dxa"/>
            <w:vAlign w:val="bottom"/>
          </w:tcPr>
          <w:p w:rsidR="007D7AFA" w:rsidRDefault="007D7AFA" w:rsidP="007652AD">
            <w:pPr>
              <w:ind w:right="110"/>
              <w:jc w:val="right"/>
              <w:rPr>
                <w:rFonts w:ascii="Arial" w:hAnsi="Arial" w:cs="Arial"/>
                <w:sz w:val="20"/>
                <w:szCs w:val="20"/>
              </w:rPr>
            </w:pPr>
            <w:r>
              <w:rPr>
                <w:rFonts w:ascii="Arial" w:hAnsi="Arial" w:cs="Arial"/>
                <w:sz w:val="20"/>
                <w:szCs w:val="20"/>
              </w:rPr>
              <w:t>220 700 000</w:t>
            </w:r>
          </w:p>
        </w:tc>
        <w:tc>
          <w:tcPr>
            <w:tcW w:w="1440" w:type="dxa"/>
            <w:noWrap/>
            <w:vAlign w:val="bottom"/>
          </w:tcPr>
          <w:p w:rsidR="007D7AFA" w:rsidRDefault="007D7AFA" w:rsidP="007652AD">
            <w:pPr>
              <w:jc w:val="center"/>
              <w:rPr>
                <w:rFonts w:ascii="Arial" w:hAnsi="Arial" w:cs="Arial"/>
                <w:sz w:val="20"/>
                <w:szCs w:val="20"/>
              </w:rPr>
            </w:pPr>
            <w:r>
              <w:rPr>
                <w:rFonts w:ascii="Arial" w:hAnsi="Arial" w:cs="Arial"/>
                <w:sz w:val="20"/>
                <w:szCs w:val="20"/>
              </w:rPr>
              <w:t>66,0%</w:t>
            </w:r>
          </w:p>
        </w:tc>
        <w:tc>
          <w:tcPr>
            <w:tcW w:w="1440"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33 857 194</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10,1%</w:t>
            </w:r>
          </w:p>
        </w:tc>
      </w:tr>
      <w:tr w:rsidR="007D7AFA" w:rsidRPr="00333ECC" w:rsidTr="007652AD">
        <w:trPr>
          <w:trHeight w:val="510"/>
        </w:trPr>
        <w:tc>
          <w:tcPr>
            <w:tcW w:w="2355" w:type="dxa"/>
            <w:tcBorders>
              <w:left w:val="double" w:sz="4" w:space="0" w:color="auto"/>
            </w:tcBorders>
            <w:vAlign w:val="bottom"/>
          </w:tcPr>
          <w:p w:rsidR="007D7AFA" w:rsidRPr="00333ECC" w:rsidRDefault="007D7AFA" w:rsidP="007652AD">
            <w:pPr>
              <w:rPr>
                <w:rFonts w:ascii="Arial" w:hAnsi="Arial" w:cs="Arial"/>
                <w:sz w:val="20"/>
                <w:szCs w:val="20"/>
              </w:rPr>
            </w:pPr>
            <w:r w:rsidRPr="00333ECC">
              <w:rPr>
                <w:rFonts w:ascii="Arial" w:hAnsi="Arial" w:cs="Arial"/>
                <w:sz w:val="20"/>
                <w:szCs w:val="20"/>
              </w:rPr>
              <w:t>5. ОП "Конкурентоспособност на българската икономика"</w:t>
            </w:r>
          </w:p>
        </w:tc>
        <w:tc>
          <w:tcPr>
            <w:tcW w:w="1659"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320 218 345</w:t>
            </w:r>
          </w:p>
        </w:tc>
        <w:tc>
          <w:tcPr>
            <w:tcW w:w="1581" w:type="dxa"/>
            <w:vAlign w:val="bottom"/>
          </w:tcPr>
          <w:p w:rsidR="007D7AFA" w:rsidRDefault="007D7AFA" w:rsidP="007652AD">
            <w:pPr>
              <w:ind w:right="110"/>
              <w:jc w:val="right"/>
              <w:rPr>
                <w:rFonts w:ascii="Arial" w:hAnsi="Arial" w:cs="Arial"/>
                <w:sz w:val="20"/>
                <w:szCs w:val="20"/>
              </w:rPr>
            </w:pPr>
            <w:r>
              <w:rPr>
                <w:rFonts w:ascii="Arial" w:hAnsi="Arial" w:cs="Arial"/>
                <w:sz w:val="20"/>
                <w:szCs w:val="20"/>
              </w:rPr>
              <w:t>377 400 000</w:t>
            </w:r>
          </w:p>
        </w:tc>
        <w:tc>
          <w:tcPr>
            <w:tcW w:w="1440" w:type="dxa"/>
            <w:noWrap/>
            <w:vAlign w:val="bottom"/>
          </w:tcPr>
          <w:p w:rsidR="007D7AFA" w:rsidRDefault="007D7AFA" w:rsidP="007652AD">
            <w:pPr>
              <w:jc w:val="center"/>
              <w:rPr>
                <w:rFonts w:ascii="Arial" w:hAnsi="Arial" w:cs="Arial"/>
                <w:sz w:val="20"/>
                <w:szCs w:val="20"/>
              </w:rPr>
            </w:pPr>
            <w:r>
              <w:rPr>
                <w:rFonts w:ascii="Arial" w:hAnsi="Arial" w:cs="Arial"/>
                <w:sz w:val="20"/>
                <w:szCs w:val="20"/>
              </w:rPr>
              <w:t>117,9%</w:t>
            </w:r>
          </w:p>
        </w:tc>
        <w:tc>
          <w:tcPr>
            <w:tcW w:w="1440"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3 956 894</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1,2%</w:t>
            </w:r>
          </w:p>
        </w:tc>
      </w:tr>
      <w:tr w:rsidR="007D7AFA" w:rsidRPr="00333ECC" w:rsidTr="007652AD">
        <w:trPr>
          <w:trHeight w:val="255"/>
        </w:trPr>
        <w:tc>
          <w:tcPr>
            <w:tcW w:w="2355" w:type="dxa"/>
            <w:tcBorders>
              <w:left w:val="double" w:sz="4" w:space="0" w:color="auto"/>
            </w:tcBorders>
            <w:vAlign w:val="bottom"/>
          </w:tcPr>
          <w:p w:rsidR="007D7AFA" w:rsidRPr="00333ECC" w:rsidRDefault="007D7AFA" w:rsidP="007652AD">
            <w:pPr>
              <w:rPr>
                <w:rFonts w:ascii="Arial" w:hAnsi="Arial" w:cs="Arial"/>
                <w:sz w:val="20"/>
                <w:szCs w:val="20"/>
              </w:rPr>
            </w:pPr>
            <w:r w:rsidRPr="00333ECC">
              <w:rPr>
                <w:rFonts w:ascii="Arial" w:hAnsi="Arial" w:cs="Arial"/>
                <w:sz w:val="20"/>
                <w:szCs w:val="20"/>
              </w:rPr>
              <w:t>6. ОП "Административен капацитет"</w:t>
            </w:r>
          </w:p>
        </w:tc>
        <w:tc>
          <w:tcPr>
            <w:tcW w:w="1659"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49 811 743</w:t>
            </w:r>
          </w:p>
        </w:tc>
        <w:tc>
          <w:tcPr>
            <w:tcW w:w="1581" w:type="dxa"/>
            <w:vAlign w:val="bottom"/>
          </w:tcPr>
          <w:p w:rsidR="007D7AFA" w:rsidRDefault="007D7AFA" w:rsidP="007652AD">
            <w:pPr>
              <w:ind w:right="110"/>
              <w:jc w:val="right"/>
              <w:rPr>
                <w:rFonts w:ascii="Arial" w:hAnsi="Arial" w:cs="Arial"/>
                <w:sz w:val="20"/>
                <w:szCs w:val="20"/>
              </w:rPr>
            </w:pPr>
            <w:r>
              <w:rPr>
                <w:rFonts w:ascii="Arial" w:hAnsi="Arial" w:cs="Arial"/>
                <w:sz w:val="20"/>
                <w:szCs w:val="20"/>
              </w:rPr>
              <w:t>71 600 000</w:t>
            </w:r>
          </w:p>
        </w:tc>
        <w:tc>
          <w:tcPr>
            <w:tcW w:w="1440" w:type="dxa"/>
            <w:noWrap/>
            <w:vAlign w:val="bottom"/>
          </w:tcPr>
          <w:p w:rsidR="007D7AFA" w:rsidRDefault="007D7AFA" w:rsidP="007652AD">
            <w:pPr>
              <w:jc w:val="center"/>
              <w:rPr>
                <w:rFonts w:ascii="Arial" w:hAnsi="Arial" w:cs="Arial"/>
                <w:sz w:val="20"/>
                <w:szCs w:val="20"/>
              </w:rPr>
            </w:pPr>
            <w:r>
              <w:rPr>
                <w:rFonts w:ascii="Arial" w:hAnsi="Arial" w:cs="Arial"/>
                <w:sz w:val="20"/>
                <w:szCs w:val="20"/>
              </w:rPr>
              <w:t>143,7%</w:t>
            </w:r>
          </w:p>
        </w:tc>
        <w:tc>
          <w:tcPr>
            <w:tcW w:w="1440"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32 186 008</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64,6%</w:t>
            </w:r>
          </w:p>
        </w:tc>
      </w:tr>
      <w:tr w:rsidR="007D7AFA" w:rsidRPr="00333ECC" w:rsidTr="007652AD">
        <w:trPr>
          <w:trHeight w:val="255"/>
        </w:trPr>
        <w:tc>
          <w:tcPr>
            <w:tcW w:w="2355" w:type="dxa"/>
            <w:tcBorders>
              <w:left w:val="double" w:sz="4" w:space="0" w:color="auto"/>
            </w:tcBorders>
            <w:vAlign w:val="bottom"/>
          </w:tcPr>
          <w:p w:rsidR="007D7AFA" w:rsidRPr="00333ECC" w:rsidRDefault="007D7AFA" w:rsidP="007652AD">
            <w:pPr>
              <w:rPr>
                <w:rFonts w:ascii="Arial" w:hAnsi="Arial" w:cs="Arial"/>
                <w:sz w:val="20"/>
                <w:szCs w:val="20"/>
              </w:rPr>
            </w:pPr>
            <w:r w:rsidRPr="00333ECC">
              <w:rPr>
                <w:rFonts w:ascii="Arial" w:hAnsi="Arial" w:cs="Arial"/>
                <w:sz w:val="20"/>
                <w:szCs w:val="20"/>
              </w:rPr>
              <w:t>7. ОП "Техническа помощ"</w:t>
            </w:r>
          </w:p>
        </w:tc>
        <w:tc>
          <w:tcPr>
            <w:tcW w:w="1659"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15 655 119</w:t>
            </w:r>
          </w:p>
        </w:tc>
        <w:tc>
          <w:tcPr>
            <w:tcW w:w="1581" w:type="dxa"/>
            <w:vAlign w:val="bottom"/>
          </w:tcPr>
          <w:p w:rsidR="007D7AFA" w:rsidRDefault="007D7AFA" w:rsidP="007652AD">
            <w:pPr>
              <w:ind w:right="110"/>
              <w:jc w:val="right"/>
              <w:rPr>
                <w:rFonts w:ascii="Arial" w:hAnsi="Arial" w:cs="Arial"/>
                <w:sz w:val="20"/>
                <w:szCs w:val="20"/>
              </w:rPr>
            </w:pPr>
            <w:r>
              <w:rPr>
                <w:rFonts w:ascii="Arial" w:hAnsi="Arial" w:cs="Arial"/>
                <w:sz w:val="20"/>
                <w:szCs w:val="20"/>
              </w:rPr>
              <w:t>12 900 000</w:t>
            </w:r>
          </w:p>
        </w:tc>
        <w:tc>
          <w:tcPr>
            <w:tcW w:w="1440" w:type="dxa"/>
            <w:noWrap/>
            <w:vAlign w:val="bottom"/>
          </w:tcPr>
          <w:p w:rsidR="007D7AFA" w:rsidRDefault="007D7AFA" w:rsidP="007652AD">
            <w:pPr>
              <w:jc w:val="center"/>
              <w:rPr>
                <w:rFonts w:ascii="Arial" w:hAnsi="Arial" w:cs="Arial"/>
                <w:sz w:val="20"/>
                <w:szCs w:val="20"/>
              </w:rPr>
            </w:pPr>
            <w:r>
              <w:rPr>
                <w:rFonts w:ascii="Arial" w:hAnsi="Arial" w:cs="Arial"/>
                <w:sz w:val="20"/>
                <w:szCs w:val="20"/>
              </w:rPr>
              <w:t>82,4%</w:t>
            </w:r>
          </w:p>
        </w:tc>
        <w:tc>
          <w:tcPr>
            <w:tcW w:w="1440" w:type="dxa"/>
            <w:vAlign w:val="bottom"/>
          </w:tcPr>
          <w:p w:rsidR="007D7AFA" w:rsidRPr="00333ECC" w:rsidRDefault="007D7AFA" w:rsidP="007652AD">
            <w:pPr>
              <w:ind w:right="187"/>
              <w:jc w:val="right"/>
              <w:rPr>
                <w:rFonts w:ascii="Arial" w:hAnsi="Arial" w:cs="Arial"/>
                <w:sz w:val="20"/>
                <w:szCs w:val="20"/>
              </w:rPr>
            </w:pPr>
            <w:r w:rsidRPr="00333ECC">
              <w:rPr>
                <w:rFonts w:ascii="Arial" w:hAnsi="Arial" w:cs="Arial"/>
                <w:sz w:val="20"/>
                <w:szCs w:val="20"/>
              </w:rPr>
              <w:t>2 337 921</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sz w:val="20"/>
                <w:szCs w:val="20"/>
              </w:rPr>
            </w:pPr>
            <w:r w:rsidRPr="00333ECC">
              <w:rPr>
                <w:rFonts w:ascii="Arial" w:hAnsi="Arial" w:cs="Arial"/>
                <w:sz w:val="20"/>
                <w:szCs w:val="20"/>
              </w:rPr>
              <w:t>14,9%</w:t>
            </w:r>
          </w:p>
        </w:tc>
      </w:tr>
      <w:tr w:rsidR="007D7AFA" w:rsidRPr="00333ECC" w:rsidTr="007652AD">
        <w:trPr>
          <w:trHeight w:val="255"/>
        </w:trPr>
        <w:tc>
          <w:tcPr>
            <w:tcW w:w="2355" w:type="dxa"/>
            <w:tcBorders>
              <w:left w:val="double" w:sz="4" w:space="0" w:color="auto"/>
            </w:tcBorders>
            <w:vAlign w:val="bottom"/>
          </w:tcPr>
          <w:p w:rsidR="007D7AFA" w:rsidRPr="00333ECC" w:rsidRDefault="007D7AFA" w:rsidP="007652AD">
            <w:pPr>
              <w:rPr>
                <w:rFonts w:ascii="Arial" w:hAnsi="Arial" w:cs="Arial"/>
                <w:b/>
                <w:bCs/>
                <w:sz w:val="20"/>
                <w:szCs w:val="20"/>
              </w:rPr>
            </w:pPr>
            <w:r w:rsidRPr="00333ECC">
              <w:rPr>
                <w:rFonts w:ascii="Arial" w:hAnsi="Arial" w:cs="Arial"/>
                <w:b/>
                <w:bCs/>
                <w:sz w:val="20"/>
                <w:szCs w:val="20"/>
              </w:rPr>
              <w:t>8. Всичко оперативни програми (сума от 1 до 7)</w:t>
            </w:r>
          </w:p>
        </w:tc>
        <w:tc>
          <w:tcPr>
            <w:tcW w:w="1659" w:type="dxa"/>
            <w:vAlign w:val="bottom"/>
          </w:tcPr>
          <w:p w:rsidR="007D7AFA" w:rsidRPr="00333ECC" w:rsidRDefault="007D7AFA" w:rsidP="007652AD">
            <w:pPr>
              <w:ind w:right="187"/>
              <w:jc w:val="right"/>
              <w:rPr>
                <w:rFonts w:ascii="Arial" w:hAnsi="Arial" w:cs="Arial"/>
                <w:b/>
                <w:bCs/>
                <w:sz w:val="20"/>
                <w:szCs w:val="20"/>
              </w:rPr>
            </w:pPr>
            <w:r w:rsidRPr="00333ECC">
              <w:rPr>
                <w:rFonts w:ascii="Arial" w:hAnsi="Arial" w:cs="Arial"/>
                <w:b/>
                <w:bCs/>
                <w:sz w:val="20"/>
                <w:szCs w:val="20"/>
              </w:rPr>
              <w:t>2 170 908 099</w:t>
            </w:r>
          </w:p>
        </w:tc>
        <w:tc>
          <w:tcPr>
            <w:tcW w:w="1581" w:type="dxa"/>
            <w:vAlign w:val="bottom"/>
          </w:tcPr>
          <w:p w:rsidR="007D7AFA" w:rsidRPr="00333ECC" w:rsidRDefault="007D7AFA" w:rsidP="007652AD">
            <w:pPr>
              <w:jc w:val="right"/>
              <w:rPr>
                <w:rFonts w:ascii="Arial" w:hAnsi="Arial" w:cs="Arial"/>
                <w:b/>
                <w:bCs/>
                <w:sz w:val="20"/>
                <w:szCs w:val="20"/>
              </w:rPr>
            </w:pPr>
            <w:r>
              <w:rPr>
                <w:rFonts w:ascii="Arial" w:hAnsi="Arial" w:cs="Arial"/>
                <w:b/>
                <w:bCs/>
                <w:sz w:val="20"/>
                <w:szCs w:val="20"/>
              </w:rPr>
              <w:t>1 603 500 000</w:t>
            </w:r>
          </w:p>
        </w:tc>
        <w:tc>
          <w:tcPr>
            <w:tcW w:w="1440" w:type="dxa"/>
            <w:noWrap/>
            <w:vAlign w:val="bottom"/>
          </w:tcPr>
          <w:p w:rsidR="007D7AFA" w:rsidRPr="00333ECC" w:rsidRDefault="007D7AFA" w:rsidP="007652AD">
            <w:pPr>
              <w:tabs>
                <w:tab w:val="left" w:pos="1010"/>
                <w:tab w:val="left" w:pos="1583"/>
              </w:tabs>
              <w:ind w:right="533"/>
              <w:jc w:val="right"/>
              <w:rPr>
                <w:rFonts w:ascii="Arial" w:hAnsi="Arial" w:cs="Arial"/>
                <w:b/>
                <w:bCs/>
                <w:sz w:val="20"/>
                <w:szCs w:val="20"/>
              </w:rPr>
            </w:pPr>
            <w:r>
              <w:rPr>
                <w:rFonts w:ascii="Arial" w:hAnsi="Arial" w:cs="Arial"/>
                <w:b/>
                <w:bCs/>
                <w:sz w:val="20"/>
                <w:szCs w:val="20"/>
              </w:rPr>
              <w:t>73</w:t>
            </w:r>
            <w:r w:rsidRPr="00333ECC">
              <w:rPr>
                <w:rFonts w:ascii="Arial" w:hAnsi="Arial" w:cs="Arial"/>
                <w:b/>
                <w:bCs/>
                <w:sz w:val="20"/>
                <w:szCs w:val="20"/>
              </w:rPr>
              <w:t>,</w:t>
            </w:r>
            <w:r>
              <w:rPr>
                <w:rFonts w:ascii="Arial" w:hAnsi="Arial" w:cs="Arial"/>
                <w:b/>
                <w:bCs/>
                <w:sz w:val="20"/>
                <w:szCs w:val="20"/>
              </w:rPr>
              <w:t>9</w:t>
            </w:r>
            <w:r w:rsidRPr="00333ECC">
              <w:rPr>
                <w:rFonts w:ascii="Arial" w:hAnsi="Arial" w:cs="Arial"/>
                <w:b/>
                <w:bCs/>
                <w:sz w:val="20"/>
                <w:szCs w:val="20"/>
              </w:rPr>
              <w:t>%</w:t>
            </w:r>
          </w:p>
        </w:tc>
        <w:tc>
          <w:tcPr>
            <w:tcW w:w="1440" w:type="dxa"/>
            <w:vAlign w:val="bottom"/>
          </w:tcPr>
          <w:p w:rsidR="007D7AFA" w:rsidRPr="00333ECC" w:rsidRDefault="007D7AFA" w:rsidP="007652AD">
            <w:pPr>
              <w:ind w:right="187"/>
              <w:jc w:val="right"/>
              <w:rPr>
                <w:rFonts w:ascii="Arial" w:hAnsi="Arial" w:cs="Arial"/>
                <w:b/>
                <w:bCs/>
                <w:sz w:val="20"/>
                <w:szCs w:val="20"/>
              </w:rPr>
            </w:pPr>
            <w:r w:rsidRPr="00333ECC">
              <w:rPr>
                <w:rFonts w:ascii="Arial" w:hAnsi="Arial" w:cs="Arial"/>
                <w:b/>
                <w:bCs/>
                <w:sz w:val="20"/>
                <w:szCs w:val="20"/>
              </w:rPr>
              <w:t>174 259 677</w:t>
            </w:r>
          </w:p>
        </w:tc>
        <w:tc>
          <w:tcPr>
            <w:tcW w:w="1620" w:type="dxa"/>
            <w:tcBorders>
              <w:right w:val="double" w:sz="4" w:space="0" w:color="auto"/>
            </w:tcBorders>
            <w:noWrap/>
            <w:vAlign w:val="bottom"/>
          </w:tcPr>
          <w:p w:rsidR="007D7AFA" w:rsidRPr="00333ECC" w:rsidRDefault="007D7AFA" w:rsidP="007652AD">
            <w:pPr>
              <w:tabs>
                <w:tab w:val="left" w:pos="1583"/>
              </w:tabs>
              <w:ind w:right="533"/>
              <w:jc w:val="right"/>
              <w:rPr>
                <w:rFonts w:ascii="Arial" w:hAnsi="Arial" w:cs="Arial"/>
                <w:b/>
                <w:bCs/>
                <w:sz w:val="20"/>
                <w:szCs w:val="20"/>
              </w:rPr>
            </w:pPr>
            <w:r w:rsidRPr="00333ECC">
              <w:rPr>
                <w:rFonts w:ascii="Arial" w:hAnsi="Arial" w:cs="Arial"/>
                <w:b/>
                <w:bCs/>
                <w:sz w:val="20"/>
                <w:szCs w:val="20"/>
              </w:rPr>
              <w:t>8,0%</w:t>
            </w:r>
          </w:p>
        </w:tc>
      </w:tr>
      <w:tr w:rsidR="007D7AFA" w:rsidRPr="00333ECC" w:rsidTr="007652AD">
        <w:trPr>
          <w:trHeight w:val="255"/>
        </w:trPr>
        <w:tc>
          <w:tcPr>
            <w:tcW w:w="2355" w:type="dxa"/>
            <w:tcBorders>
              <w:left w:val="double" w:sz="4" w:space="0" w:color="auto"/>
              <w:bottom w:val="nil"/>
            </w:tcBorders>
            <w:vAlign w:val="bottom"/>
          </w:tcPr>
          <w:p w:rsidR="007D7AFA" w:rsidRPr="00333ECC" w:rsidRDefault="007D7AFA" w:rsidP="007652AD">
            <w:pPr>
              <w:rPr>
                <w:rFonts w:ascii="Arial" w:hAnsi="Arial" w:cs="Arial"/>
                <w:b/>
                <w:bCs/>
                <w:sz w:val="20"/>
                <w:szCs w:val="20"/>
              </w:rPr>
            </w:pPr>
          </w:p>
        </w:tc>
        <w:tc>
          <w:tcPr>
            <w:tcW w:w="1659" w:type="dxa"/>
            <w:tcBorders>
              <w:bottom w:val="nil"/>
            </w:tcBorders>
            <w:vAlign w:val="bottom"/>
          </w:tcPr>
          <w:p w:rsidR="007D7AFA" w:rsidRPr="00333ECC" w:rsidRDefault="007D7AFA" w:rsidP="007652AD">
            <w:pPr>
              <w:ind w:right="187"/>
              <w:jc w:val="right"/>
              <w:rPr>
                <w:rFonts w:ascii="Arial" w:hAnsi="Arial" w:cs="Arial"/>
                <w:b/>
                <w:bCs/>
                <w:sz w:val="20"/>
                <w:szCs w:val="20"/>
              </w:rPr>
            </w:pPr>
          </w:p>
        </w:tc>
        <w:tc>
          <w:tcPr>
            <w:tcW w:w="1581" w:type="dxa"/>
            <w:tcBorders>
              <w:bottom w:val="nil"/>
            </w:tcBorders>
          </w:tcPr>
          <w:p w:rsidR="007D7AFA" w:rsidRPr="00333ECC" w:rsidRDefault="007D7AFA" w:rsidP="007652AD">
            <w:pPr>
              <w:ind w:right="187"/>
              <w:jc w:val="right"/>
              <w:rPr>
                <w:rFonts w:ascii="Arial" w:hAnsi="Arial" w:cs="Arial"/>
                <w:b/>
                <w:bCs/>
                <w:sz w:val="20"/>
                <w:szCs w:val="20"/>
              </w:rPr>
            </w:pPr>
          </w:p>
        </w:tc>
        <w:tc>
          <w:tcPr>
            <w:tcW w:w="1440" w:type="dxa"/>
            <w:tcBorders>
              <w:bottom w:val="nil"/>
            </w:tcBorders>
            <w:noWrap/>
            <w:vAlign w:val="bottom"/>
          </w:tcPr>
          <w:p w:rsidR="007D7AFA" w:rsidRPr="00333ECC" w:rsidRDefault="007D7AFA" w:rsidP="007652AD">
            <w:pPr>
              <w:ind w:right="187"/>
              <w:jc w:val="right"/>
              <w:rPr>
                <w:rFonts w:ascii="Arial" w:hAnsi="Arial" w:cs="Arial"/>
                <w:b/>
                <w:bCs/>
                <w:sz w:val="20"/>
                <w:szCs w:val="20"/>
              </w:rPr>
            </w:pPr>
          </w:p>
        </w:tc>
        <w:tc>
          <w:tcPr>
            <w:tcW w:w="1440" w:type="dxa"/>
            <w:tcBorders>
              <w:bottom w:val="nil"/>
            </w:tcBorders>
            <w:vAlign w:val="bottom"/>
          </w:tcPr>
          <w:p w:rsidR="007D7AFA" w:rsidRPr="00333ECC" w:rsidRDefault="007D7AFA" w:rsidP="007652AD">
            <w:pPr>
              <w:ind w:right="187"/>
              <w:jc w:val="right"/>
              <w:rPr>
                <w:rFonts w:ascii="Arial" w:hAnsi="Arial" w:cs="Arial"/>
                <w:b/>
                <w:bCs/>
                <w:sz w:val="20"/>
                <w:szCs w:val="20"/>
              </w:rPr>
            </w:pPr>
          </w:p>
        </w:tc>
        <w:tc>
          <w:tcPr>
            <w:tcW w:w="1620" w:type="dxa"/>
            <w:tcBorders>
              <w:bottom w:val="nil"/>
              <w:right w:val="double" w:sz="4" w:space="0" w:color="auto"/>
            </w:tcBorders>
            <w:noWrap/>
            <w:vAlign w:val="bottom"/>
          </w:tcPr>
          <w:p w:rsidR="007D7AFA" w:rsidRPr="00333ECC" w:rsidRDefault="007D7AFA" w:rsidP="007652AD">
            <w:pPr>
              <w:tabs>
                <w:tab w:val="left" w:pos="1583"/>
              </w:tabs>
              <w:ind w:right="533"/>
              <w:jc w:val="right"/>
              <w:rPr>
                <w:rFonts w:ascii="Arial" w:hAnsi="Arial" w:cs="Arial"/>
                <w:b/>
                <w:bCs/>
                <w:sz w:val="20"/>
                <w:szCs w:val="20"/>
              </w:rPr>
            </w:pPr>
          </w:p>
        </w:tc>
      </w:tr>
      <w:tr w:rsidR="007D7AFA" w:rsidRPr="00333ECC" w:rsidTr="007652AD">
        <w:trPr>
          <w:trHeight w:val="510"/>
        </w:trPr>
        <w:tc>
          <w:tcPr>
            <w:tcW w:w="2355" w:type="dxa"/>
            <w:tcBorders>
              <w:top w:val="nil"/>
              <w:left w:val="double" w:sz="4" w:space="0" w:color="auto"/>
            </w:tcBorders>
            <w:vAlign w:val="bottom"/>
          </w:tcPr>
          <w:p w:rsidR="007D7AFA" w:rsidRPr="00333ECC" w:rsidRDefault="007D7AFA" w:rsidP="007652AD">
            <w:pPr>
              <w:rPr>
                <w:rFonts w:ascii="Arial" w:hAnsi="Arial" w:cs="Arial"/>
                <w:b/>
                <w:bCs/>
                <w:sz w:val="20"/>
                <w:szCs w:val="20"/>
              </w:rPr>
            </w:pPr>
            <w:r w:rsidRPr="00333ECC">
              <w:rPr>
                <w:rFonts w:ascii="Arial" w:hAnsi="Arial" w:cs="Arial"/>
                <w:b/>
                <w:bCs/>
                <w:sz w:val="20"/>
                <w:szCs w:val="20"/>
              </w:rPr>
              <w:t>9. Програма за развитие на рибарство и аквакултури</w:t>
            </w:r>
          </w:p>
        </w:tc>
        <w:tc>
          <w:tcPr>
            <w:tcW w:w="1659" w:type="dxa"/>
            <w:tcBorders>
              <w:top w:val="nil"/>
            </w:tcBorders>
            <w:vAlign w:val="bottom"/>
          </w:tcPr>
          <w:p w:rsidR="007D7AFA" w:rsidRPr="00333ECC" w:rsidRDefault="007D7AFA" w:rsidP="007652AD">
            <w:pPr>
              <w:ind w:right="187"/>
              <w:jc w:val="right"/>
              <w:rPr>
                <w:rFonts w:ascii="Arial" w:hAnsi="Arial" w:cs="Arial"/>
                <w:b/>
                <w:bCs/>
                <w:sz w:val="20"/>
                <w:szCs w:val="20"/>
              </w:rPr>
            </w:pPr>
            <w:r w:rsidRPr="00333ECC">
              <w:rPr>
                <w:rFonts w:ascii="Arial" w:hAnsi="Arial" w:cs="Arial"/>
                <w:b/>
                <w:bCs/>
                <w:sz w:val="20"/>
                <w:szCs w:val="20"/>
              </w:rPr>
              <w:t>25 934 823</w:t>
            </w:r>
          </w:p>
        </w:tc>
        <w:tc>
          <w:tcPr>
            <w:tcW w:w="1581" w:type="dxa"/>
            <w:tcBorders>
              <w:top w:val="nil"/>
            </w:tcBorders>
            <w:vAlign w:val="bottom"/>
          </w:tcPr>
          <w:p w:rsidR="007D7AFA" w:rsidRPr="00007005" w:rsidRDefault="007D7AFA" w:rsidP="007652AD">
            <w:pPr>
              <w:ind w:right="110"/>
              <w:jc w:val="right"/>
              <w:rPr>
                <w:rFonts w:ascii="Arial" w:hAnsi="Arial" w:cs="Arial"/>
                <w:b/>
                <w:sz w:val="20"/>
                <w:szCs w:val="20"/>
              </w:rPr>
            </w:pPr>
            <w:r>
              <w:rPr>
                <w:rFonts w:ascii="Arial" w:hAnsi="Arial" w:cs="Arial"/>
                <w:b/>
                <w:sz w:val="20"/>
                <w:szCs w:val="20"/>
              </w:rPr>
              <w:t>2 895 559</w:t>
            </w:r>
          </w:p>
        </w:tc>
        <w:tc>
          <w:tcPr>
            <w:tcW w:w="1440" w:type="dxa"/>
            <w:tcBorders>
              <w:top w:val="nil"/>
            </w:tcBorders>
            <w:noWrap/>
            <w:vAlign w:val="bottom"/>
          </w:tcPr>
          <w:p w:rsidR="007D7AFA" w:rsidRPr="00007005" w:rsidRDefault="007D7AFA" w:rsidP="007652AD">
            <w:pPr>
              <w:jc w:val="center"/>
              <w:rPr>
                <w:rFonts w:ascii="Arial" w:hAnsi="Arial" w:cs="Arial"/>
                <w:b/>
                <w:sz w:val="20"/>
                <w:szCs w:val="20"/>
              </w:rPr>
            </w:pPr>
            <w:r>
              <w:rPr>
                <w:rFonts w:ascii="Arial" w:hAnsi="Arial" w:cs="Arial"/>
                <w:b/>
                <w:sz w:val="20"/>
                <w:szCs w:val="20"/>
              </w:rPr>
              <w:t>11</w:t>
            </w:r>
            <w:r w:rsidRPr="00007005">
              <w:rPr>
                <w:rFonts w:ascii="Arial" w:hAnsi="Arial" w:cs="Arial"/>
                <w:b/>
                <w:sz w:val="20"/>
                <w:szCs w:val="20"/>
              </w:rPr>
              <w:t>,</w:t>
            </w:r>
            <w:r>
              <w:rPr>
                <w:rFonts w:ascii="Arial" w:hAnsi="Arial" w:cs="Arial"/>
                <w:b/>
                <w:sz w:val="20"/>
                <w:szCs w:val="20"/>
              </w:rPr>
              <w:t>2</w:t>
            </w:r>
            <w:r w:rsidRPr="00007005">
              <w:rPr>
                <w:rFonts w:ascii="Arial" w:hAnsi="Arial" w:cs="Arial"/>
                <w:b/>
                <w:sz w:val="20"/>
                <w:szCs w:val="20"/>
              </w:rPr>
              <w:t>%</w:t>
            </w:r>
          </w:p>
        </w:tc>
        <w:tc>
          <w:tcPr>
            <w:tcW w:w="1440" w:type="dxa"/>
            <w:tcBorders>
              <w:top w:val="nil"/>
            </w:tcBorders>
            <w:vAlign w:val="bottom"/>
          </w:tcPr>
          <w:p w:rsidR="007D7AFA" w:rsidRPr="00333ECC" w:rsidRDefault="007D7AFA" w:rsidP="007652AD">
            <w:pPr>
              <w:ind w:right="187"/>
              <w:jc w:val="right"/>
              <w:rPr>
                <w:rFonts w:ascii="Arial" w:hAnsi="Arial" w:cs="Arial"/>
                <w:b/>
                <w:bCs/>
                <w:sz w:val="20"/>
                <w:szCs w:val="20"/>
              </w:rPr>
            </w:pPr>
            <w:r w:rsidRPr="00333ECC">
              <w:rPr>
                <w:rFonts w:ascii="Arial" w:hAnsi="Arial" w:cs="Arial"/>
                <w:b/>
                <w:bCs/>
                <w:sz w:val="20"/>
                <w:szCs w:val="20"/>
              </w:rPr>
              <w:t>n.a.</w:t>
            </w:r>
          </w:p>
        </w:tc>
        <w:tc>
          <w:tcPr>
            <w:tcW w:w="1620" w:type="dxa"/>
            <w:tcBorders>
              <w:top w:val="nil"/>
              <w:right w:val="double" w:sz="4" w:space="0" w:color="auto"/>
            </w:tcBorders>
            <w:noWrap/>
            <w:vAlign w:val="bottom"/>
          </w:tcPr>
          <w:p w:rsidR="007D7AFA" w:rsidRPr="00333ECC" w:rsidRDefault="007D7AFA" w:rsidP="007652AD">
            <w:pPr>
              <w:tabs>
                <w:tab w:val="left" w:pos="1583"/>
              </w:tabs>
              <w:ind w:right="533"/>
              <w:jc w:val="right"/>
              <w:rPr>
                <w:rFonts w:ascii="Arial" w:hAnsi="Arial" w:cs="Arial"/>
                <w:b/>
                <w:bCs/>
                <w:sz w:val="20"/>
                <w:szCs w:val="20"/>
              </w:rPr>
            </w:pPr>
          </w:p>
        </w:tc>
      </w:tr>
      <w:tr w:rsidR="007D7AFA" w:rsidRPr="00333ECC" w:rsidTr="007652AD">
        <w:trPr>
          <w:trHeight w:val="255"/>
        </w:trPr>
        <w:tc>
          <w:tcPr>
            <w:tcW w:w="2355" w:type="dxa"/>
            <w:tcBorders>
              <w:left w:val="double" w:sz="4" w:space="0" w:color="auto"/>
              <w:bottom w:val="nil"/>
            </w:tcBorders>
            <w:vAlign w:val="bottom"/>
          </w:tcPr>
          <w:p w:rsidR="007D7AFA" w:rsidRPr="00333ECC" w:rsidRDefault="007D7AFA" w:rsidP="007652AD">
            <w:pPr>
              <w:rPr>
                <w:rFonts w:ascii="Arial" w:hAnsi="Arial" w:cs="Arial"/>
                <w:b/>
                <w:bCs/>
                <w:sz w:val="20"/>
                <w:szCs w:val="20"/>
              </w:rPr>
            </w:pPr>
          </w:p>
        </w:tc>
        <w:tc>
          <w:tcPr>
            <w:tcW w:w="1659" w:type="dxa"/>
            <w:tcBorders>
              <w:bottom w:val="nil"/>
            </w:tcBorders>
            <w:vAlign w:val="bottom"/>
          </w:tcPr>
          <w:p w:rsidR="007D7AFA" w:rsidRPr="00333ECC" w:rsidRDefault="007D7AFA" w:rsidP="007652AD">
            <w:pPr>
              <w:ind w:right="187"/>
              <w:jc w:val="right"/>
              <w:rPr>
                <w:rFonts w:ascii="Arial" w:hAnsi="Arial" w:cs="Arial"/>
                <w:b/>
                <w:bCs/>
                <w:sz w:val="20"/>
                <w:szCs w:val="20"/>
              </w:rPr>
            </w:pPr>
          </w:p>
        </w:tc>
        <w:tc>
          <w:tcPr>
            <w:tcW w:w="1581" w:type="dxa"/>
            <w:tcBorders>
              <w:bottom w:val="nil"/>
            </w:tcBorders>
          </w:tcPr>
          <w:p w:rsidR="007D7AFA" w:rsidRPr="00333ECC" w:rsidRDefault="007D7AFA" w:rsidP="007652AD">
            <w:pPr>
              <w:ind w:right="187"/>
              <w:jc w:val="right"/>
              <w:rPr>
                <w:rFonts w:ascii="Arial" w:hAnsi="Arial" w:cs="Arial"/>
                <w:b/>
                <w:bCs/>
                <w:sz w:val="20"/>
                <w:szCs w:val="20"/>
              </w:rPr>
            </w:pPr>
          </w:p>
        </w:tc>
        <w:tc>
          <w:tcPr>
            <w:tcW w:w="1440" w:type="dxa"/>
            <w:tcBorders>
              <w:bottom w:val="nil"/>
            </w:tcBorders>
            <w:noWrap/>
            <w:vAlign w:val="bottom"/>
          </w:tcPr>
          <w:p w:rsidR="007D7AFA" w:rsidRPr="00333ECC" w:rsidRDefault="007D7AFA" w:rsidP="007652AD">
            <w:pPr>
              <w:ind w:right="187"/>
              <w:jc w:val="right"/>
              <w:rPr>
                <w:rFonts w:ascii="Arial" w:hAnsi="Arial" w:cs="Arial"/>
                <w:b/>
                <w:bCs/>
                <w:sz w:val="20"/>
                <w:szCs w:val="20"/>
              </w:rPr>
            </w:pPr>
          </w:p>
        </w:tc>
        <w:tc>
          <w:tcPr>
            <w:tcW w:w="1440" w:type="dxa"/>
            <w:tcBorders>
              <w:bottom w:val="nil"/>
            </w:tcBorders>
            <w:vAlign w:val="bottom"/>
          </w:tcPr>
          <w:p w:rsidR="007D7AFA" w:rsidRPr="00333ECC" w:rsidRDefault="007D7AFA" w:rsidP="007652AD">
            <w:pPr>
              <w:ind w:right="187"/>
              <w:jc w:val="right"/>
              <w:rPr>
                <w:rFonts w:ascii="Arial" w:hAnsi="Arial" w:cs="Arial"/>
                <w:b/>
                <w:bCs/>
                <w:sz w:val="20"/>
                <w:szCs w:val="20"/>
              </w:rPr>
            </w:pPr>
          </w:p>
        </w:tc>
        <w:tc>
          <w:tcPr>
            <w:tcW w:w="1620" w:type="dxa"/>
            <w:tcBorders>
              <w:bottom w:val="nil"/>
              <w:right w:val="double" w:sz="4" w:space="0" w:color="auto"/>
            </w:tcBorders>
            <w:noWrap/>
            <w:vAlign w:val="bottom"/>
          </w:tcPr>
          <w:p w:rsidR="007D7AFA" w:rsidRPr="00333ECC" w:rsidRDefault="007D7AFA" w:rsidP="007652AD">
            <w:pPr>
              <w:tabs>
                <w:tab w:val="left" w:pos="1583"/>
              </w:tabs>
              <w:ind w:right="533"/>
              <w:jc w:val="right"/>
              <w:rPr>
                <w:rFonts w:ascii="Arial" w:hAnsi="Arial" w:cs="Arial"/>
                <w:b/>
                <w:bCs/>
                <w:sz w:val="20"/>
                <w:szCs w:val="20"/>
              </w:rPr>
            </w:pPr>
          </w:p>
        </w:tc>
      </w:tr>
      <w:tr w:rsidR="007D7AFA" w:rsidRPr="00333ECC" w:rsidTr="007652AD">
        <w:trPr>
          <w:trHeight w:val="255"/>
        </w:trPr>
        <w:tc>
          <w:tcPr>
            <w:tcW w:w="2355" w:type="dxa"/>
            <w:tcBorders>
              <w:top w:val="nil"/>
              <w:left w:val="double" w:sz="4" w:space="0" w:color="auto"/>
            </w:tcBorders>
            <w:vAlign w:val="bottom"/>
          </w:tcPr>
          <w:p w:rsidR="007D7AFA" w:rsidRPr="00333ECC" w:rsidRDefault="007D7AFA" w:rsidP="007652AD">
            <w:pPr>
              <w:rPr>
                <w:rFonts w:ascii="Arial" w:hAnsi="Arial" w:cs="Arial"/>
                <w:b/>
                <w:bCs/>
                <w:sz w:val="20"/>
                <w:szCs w:val="20"/>
              </w:rPr>
            </w:pPr>
            <w:r w:rsidRPr="00333ECC">
              <w:rPr>
                <w:rFonts w:ascii="Arial" w:hAnsi="Arial" w:cs="Arial"/>
                <w:b/>
                <w:bCs/>
                <w:sz w:val="20"/>
                <w:szCs w:val="20"/>
              </w:rPr>
              <w:t>10. Програма за развитие на селските райони</w:t>
            </w:r>
          </w:p>
        </w:tc>
        <w:tc>
          <w:tcPr>
            <w:tcW w:w="1659" w:type="dxa"/>
            <w:tcBorders>
              <w:top w:val="nil"/>
            </w:tcBorders>
            <w:vAlign w:val="bottom"/>
          </w:tcPr>
          <w:p w:rsidR="007D7AFA" w:rsidRPr="00333ECC" w:rsidRDefault="007D7AFA" w:rsidP="007652AD">
            <w:pPr>
              <w:ind w:right="187"/>
              <w:jc w:val="right"/>
              <w:rPr>
                <w:rFonts w:ascii="Arial" w:hAnsi="Arial" w:cs="Arial"/>
                <w:b/>
                <w:bCs/>
                <w:sz w:val="20"/>
                <w:szCs w:val="20"/>
              </w:rPr>
            </w:pPr>
            <w:r w:rsidRPr="00333ECC">
              <w:rPr>
                <w:rFonts w:ascii="Arial" w:hAnsi="Arial" w:cs="Arial"/>
                <w:b/>
                <w:bCs/>
                <w:sz w:val="20"/>
                <w:szCs w:val="20"/>
              </w:rPr>
              <w:t>1 273 180 395</w:t>
            </w:r>
          </w:p>
        </w:tc>
        <w:tc>
          <w:tcPr>
            <w:tcW w:w="1581" w:type="dxa"/>
            <w:tcBorders>
              <w:top w:val="nil"/>
            </w:tcBorders>
            <w:vAlign w:val="bottom"/>
          </w:tcPr>
          <w:p w:rsidR="007D7AFA" w:rsidRPr="00007005" w:rsidRDefault="007D7AFA" w:rsidP="007652AD">
            <w:pPr>
              <w:ind w:right="110"/>
              <w:jc w:val="right"/>
              <w:rPr>
                <w:rFonts w:ascii="Arial" w:hAnsi="Arial" w:cs="Arial"/>
                <w:b/>
                <w:sz w:val="20"/>
                <w:szCs w:val="20"/>
              </w:rPr>
            </w:pPr>
            <w:r w:rsidRPr="00007005">
              <w:rPr>
                <w:rFonts w:ascii="Arial" w:hAnsi="Arial" w:cs="Arial"/>
                <w:b/>
                <w:sz w:val="20"/>
                <w:szCs w:val="20"/>
              </w:rPr>
              <w:t>498 368 370</w:t>
            </w:r>
          </w:p>
        </w:tc>
        <w:tc>
          <w:tcPr>
            <w:tcW w:w="1440" w:type="dxa"/>
            <w:tcBorders>
              <w:top w:val="nil"/>
            </w:tcBorders>
            <w:noWrap/>
            <w:vAlign w:val="bottom"/>
          </w:tcPr>
          <w:p w:rsidR="007D7AFA" w:rsidRPr="00007005" w:rsidRDefault="007D7AFA" w:rsidP="007652AD">
            <w:pPr>
              <w:jc w:val="center"/>
              <w:rPr>
                <w:rFonts w:ascii="Arial" w:hAnsi="Arial" w:cs="Arial"/>
                <w:b/>
                <w:sz w:val="20"/>
                <w:szCs w:val="20"/>
              </w:rPr>
            </w:pPr>
            <w:r w:rsidRPr="00007005">
              <w:rPr>
                <w:rFonts w:ascii="Arial" w:hAnsi="Arial" w:cs="Arial"/>
                <w:b/>
                <w:sz w:val="20"/>
                <w:szCs w:val="20"/>
              </w:rPr>
              <w:t>39,1%</w:t>
            </w:r>
          </w:p>
        </w:tc>
        <w:tc>
          <w:tcPr>
            <w:tcW w:w="1440" w:type="dxa"/>
            <w:tcBorders>
              <w:top w:val="nil"/>
            </w:tcBorders>
            <w:vAlign w:val="bottom"/>
          </w:tcPr>
          <w:p w:rsidR="007D7AFA" w:rsidRPr="00333ECC" w:rsidRDefault="007D7AFA" w:rsidP="007652AD">
            <w:pPr>
              <w:ind w:right="187"/>
              <w:jc w:val="right"/>
              <w:rPr>
                <w:rFonts w:ascii="Arial" w:hAnsi="Arial" w:cs="Arial"/>
                <w:b/>
                <w:bCs/>
                <w:sz w:val="20"/>
                <w:szCs w:val="20"/>
              </w:rPr>
            </w:pPr>
            <w:r w:rsidRPr="00333ECC">
              <w:rPr>
                <w:rFonts w:ascii="Arial" w:hAnsi="Arial" w:cs="Arial"/>
                <w:b/>
                <w:bCs/>
                <w:sz w:val="20"/>
                <w:szCs w:val="20"/>
              </w:rPr>
              <w:t>242 088 118</w:t>
            </w:r>
          </w:p>
        </w:tc>
        <w:tc>
          <w:tcPr>
            <w:tcW w:w="1620" w:type="dxa"/>
            <w:tcBorders>
              <w:top w:val="nil"/>
              <w:right w:val="double" w:sz="4" w:space="0" w:color="auto"/>
            </w:tcBorders>
            <w:noWrap/>
            <w:vAlign w:val="bottom"/>
          </w:tcPr>
          <w:p w:rsidR="007D7AFA" w:rsidRPr="00333ECC" w:rsidRDefault="007D7AFA" w:rsidP="007652AD">
            <w:pPr>
              <w:tabs>
                <w:tab w:val="left" w:pos="1583"/>
              </w:tabs>
              <w:ind w:right="533"/>
              <w:jc w:val="right"/>
              <w:rPr>
                <w:rFonts w:ascii="Arial" w:hAnsi="Arial" w:cs="Arial"/>
                <w:b/>
                <w:bCs/>
                <w:sz w:val="20"/>
                <w:szCs w:val="20"/>
              </w:rPr>
            </w:pPr>
            <w:r w:rsidRPr="00333ECC">
              <w:rPr>
                <w:rFonts w:ascii="Arial" w:hAnsi="Arial" w:cs="Arial"/>
                <w:b/>
                <w:bCs/>
                <w:sz w:val="20"/>
                <w:szCs w:val="20"/>
              </w:rPr>
              <w:t>19,0%</w:t>
            </w:r>
          </w:p>
        </w:tc>
      </w:tr>
      <w:tr w:rsidR="007D7AFA" w:rsidRPr="00333ECC" w:rsidTr="007652AD">
        <w:trPr>
          <w:trHeight w:val="255"/>
        </w:trPr>
        <w:tc>
          <w:tcPr>
            <w:tcW w:w="2355" w:type="dxa"/>
            <w:tcBorders>
              <w:left w:val="double" w:sz="4" w:space="0" w:color="auto"/>
              <w:bottom w:val="nil"/>
            </w:tcBorders>
            <w:vAlign w:val="bottom"/>
          </w:tcPr>
          <w:p w:rsidR="007D7AFA" w:rsidRPr="00333ECC" w:rsidRDefault="007D7AFA" w:rsidP="007652AD">
            <w:pPr>
              <w:rPr>
                <w:rFonts w:ascii="Arial" w:hAnsi="Arial" w:cs="Arial"/>
                <w:b/>
                <w:bCs/>
                <w:sz w:val="20"/>
                <w:szCs w:val="20"/>
              </w:rPr>
            </w:pPr>
          </w:p>
        </w:tc>
        <w:tc>
          <w:tcPr>
            <w:tcW w:w="1659" w:type="dxa"/>
            <w:tcBorders>
              <w:bottom w:val="nil"/>
            </w:tcBorders>
            <w:vAlign w:val="bottom"/>
          </w:tcPr>
          <w:p w:rsidR="007D7AFA" w:rsidRPr="00333ECC" w:rsidRDefault="007D7AFA" w:rsidP="007652AD">
            <w:pPr>
              <w:ind w:right="187"/>
              <w:jc w:val="right"/>
              <w:rPr>
                <w:rFonts w:ascii="Arial" w:hAnsi="Arial" w:cs="Arial"/>
                <w:b/>
                <w:bCs/>
                <w:sz w:val="20"/>
                <w:szCs w:val="20"/>
              </w:rPr>
            </w:pPr>
          </w:p>
        </w:tc>
        <w:tc>
          <w:tcPr>
            <w:tcW w:w="1581" w:type="dxa"/>
            <w:tcBorders>
              <w:bottom w:val="nil"/>
            </w:tcBorders>
          </w:tcPr>
          <w:p w:rsidR="007D7AFA" w:rsidRPr="00333ECC" w:rsidRDefault="007D7AFA" w:rsidP="007652AD">
            <w:pPr>
              <w:ind w:right="187"/>
              <w:jc w:val="right"/>
              <w:rPr>
                <w:rFonts w:ascii="Arial" w:hAnsi="Arial" w:cs="Arial"/>
                <w:b/>
                <w:bCs/>
                <w:sz w:val="20"/>
                <w:szCs w:val="20"/>
              </w:rPr>
            </w:pPr>
          </w:p>
        </w:tc>
        <w:tc>
          <w:tcPr>
            <w:tcW w:w="1440" w:type="dxa"/>
            <w:tcBorders>
              <w:bottom w:val="nil"/>
            </w:tcBorders>
            <w:noWrap/>
            <w:vAlign w:val="bottom"/>
          </w:tcPr>
          <w:p w:rsidR="007D7AFA" w:rsidRPr="00333ECC" w:rsidRDefault="007D7AFA" w:rsidP="007652AD">
            <w:pPr>
              <w:ind w:right="187"/>
              <w:jc w:val="right"/>
              <w:rPr>
                <w:rFonts w:ascii="Arial" w:hAnsi="Arial" w:cs="Arial"/>
                <w:b/>
                <w:bCs/>
                <w:sz w:val="20"/>
                <w:szCs w:val="20"/>
              </w:rPr>
            </w:pPr>
          </w:p>
        </w:tc>
        <w:tc>
          <w:tcPr>
            <w:tcW w:w="1440" w:type="dxa"/>
            <w:tcBorders>
              <w:bottom w:val="nil"/>
            </w:tcBorders>
            <w:vAlign w:val="bottom"/>
          </w:tcPr>
          <w:p w:rsidR="007D7AFA" w:rsidRPr="00333ECC" w:rsidRDefault="007D7AFA" w:rsidP="007652AD">
            <w:pPr>
              <w:ind w:right="187"/>
              <w:jc w:val="right"/>
              <w:rPr>
                <w:rFonts w:ascii="Arial" w:hAnsi="Arial" w:cs="Arial"/>
                <w:b/>
                <w:bCs/>
                <w:sz w:val="20"/>
                <w:szCs w:val="20"/>
              </w:rPr>
            </w:pPr>
          </w:p>
        </w:tc>
        <w:tc>
          <w:tcPr>
            <w:tcW w:w="1620" w:type="dxa"/>
            <w:tcBorders>
              <w:bottom w:val="nil"/>
              <w:right w:val="double" w:sz="4" w:space="0" w:color="auto"/>
            </w:tcBorders>
            <w:noWrap/>
            <w:vAlign w:val="bottom"/>
          </w:tcPr>
          <w:p w:rsidR="007D7AFA" w:rsidRPr="00333ECC" w:rsidRDefault="007D7AFA" w:rsidP="007652AD">
            <w:pPr>
              <w:tabs>
                <w:tab w:val="left" w:pos="1583"/>
              </w:tabs>
              <w:ind w:right="533"/>
              <w:jc w:val="right"/>
              <w:rPr>
                <w:rFonts w:ascii="Arial" w:hAnsi="Arial" w:cs="Arial"/>
                <w:b/>
                <w:bCs/>
                <w:sz w:val="20"/>
                <w:szCs w:val="20"/>
              </w:rPr>
            </w:pPr>
          </w:p>
        </w:tc>
      </w:tr>
      <w:tr w:rsidR="007D7AFA" w:rsidRPr="00333ECC" w:rsidTr="007652AD">
        <w:trPr>
          <w:trHeight w:val="510"/>
        </w:trPr>
        <w:tc>
          <w:tcPr>
            <w:tcW w:w="2355" w:type="dxa"/>
            <w:tcBorders>
              <w:top w:val="nil"/>
              <w:left w:val="double" w:sz="4" w:space="0" w:color="auto"/>
            </w:tcBorders>
            <w:vAlign w:val="bottom"/>
          </w:tcPr>
          <w:p w:rsidR="007D7AFA" w:rsidRPr="00333ECC" w:rsidRDefault="007D7AFA" w:rsidP="007652AD">
            <w:pPr>
              <w:rPr>
                <w:rFonts w:ascii="Arial" w:hAnsi="Arial" w:cs="Arial"/>
                <w:b/>
                <w:bCs/>
                <w:sz w:val="20"/>
                <w:szCs w:val="20"/>
              </w:rPr>
            </w:pPr>
            <w:r w:rsidRPr="00333ECC">
              <w:rPr>
                <w:rFonts w:ascii="Arial" w:hAnsi="Arial" w:cs="Arial"/>
                <w:b/>
                <w:bCs/>
                <w:sz w:val="20"/>
                <w:szCs w:val="20"/>
              </w:rPr>
              <w:t>11. Eвропейско икономическо простраство</w:t>
            </w:r>
          </w:p>
        </w:tc>
        <w:tc>
          <w:tcPr>
            <w:tcW w:w="1659" w:type="dxa"/>
            <w:tcBorders>
              <w:top w:val="nil"/>
            </w:tcBorders>
            <w:vAlign w:val="bottom"/>
          </w:tcPr>
          <w:p w:rsidR="007D7AFA" w:rsidRPr="00333ECC" w:rsidRDefault="007D7AFA" w:rsidP="007652AD">
            <w:pPr>
              <w:ind w:right="187"/>
              <w:jc w:val="right"/>
              <w:rPr>
                <w:rFonts w:ascii="Arial" w:hAnsi="Arial" w:cs="Arial"/>
                <w:b/>
                <w:bCs/>
                <w:sz w:val="20"/>
                <w:szCs w:val="20"/>
              </w:rPr>
            </w:pPr>
            <w:r w:rsidRPr="00333ECC">
              <w:rPr>
                <w:rFonts w:ascii="Arial" w:hAnsi="Arial" w:cs="Arial"/>
                <w:b/>
                <w:bCs/>
                <w:sz w:val="20"/>
                <w:szCs w:val="20"/>
              </w:rPr>
              <w:t>17 956 800</w:t>
            </w:r>
          </w:p>
        </w:tc>
        <w:tc>
          <w:tcPr>
            <w:tcW w:w="1581" w:type="dxa"/>
            <w:tcBorders>
              <w:top w:val="nil"/>
            </w:tcBorders>
          </w:tcPr>
          <w:p w:rsidR="007D7AFA" w:rsidRPr="00333ECC" w:rsidRDefault="007D7AFA" w:rsidP="007652AD">
            <w:pPr>
              <w:ind w:right="187"/>
              <w:jc w:val="right"/>
              <w:rPr>
                <w:rFonts w:ascii="Arial" w:hAnsi="Arial" w:cs="Arial"/>
                <w:b/>
                <w:bCs/>
                <w:sz w:val="20"/>
                <w:szCs w:val="20"/>
              </w:rPr>
            </w:pPr>
          </w:p>
        </w:tc>
        <w:tc>
          <w:tcPr>
            <w:tcW w:w="1440" w:type="dxa"/>
            <w:tcBorders>
              <w:top w:val="nil"/>
            </w:tcBorders>
            <w:noWrap/>
            <w:vAlign w:val="bottom"/>
          </w:tcPr>
          <w:p w:rsidR="007D7AFA" w:rsidRPr="00333ECC" w:rsidRDefault="007D7AFA" w:rsidP="007652AD">
            <w:pPr>
              <w:ind w:right="187"/>
              <w:jc w:val="right"/>
              <w:rPr>
                <w:rFonts w:ascii="Arial" w:hAnsi="Arial" w:cs="Arial"/>
                <w:b/>
                <w:bCs/>
                <w:sz w:val="20"/>
                <w:szCs w:val="20"/>
              </w:rPr>
            </w:pPr>
          </w:p>
        </w:tc>
        <w:tc>
          <w:tcPr>
            <w:tcW w:w="1440" w:type="dxa"/>
            <w:tcBorders>
              <w:top w:val="nil"/>
            </w:tcBorders>
            <w:vAlign w:val="bottom"/>
          </w:tcPr>
          <w:p w:rsidR="007D7AFA" w:rsidRPr="00333ECC" w:rsidRDefault="007D7AFA" w:rsidP="007652AD">
            <w:pPr>
              <w:ind w:right="187"/>
              <w:jc w:val="right"/>
              <w:rPr>
                <w:rFonts w:ascii="Arial" w:hAnsi="Arial" w:cs="Arial"/>
                <w:b/>
                <w:bCs/>
                <w:sz w:val="20"/>
                <w:szCs w:val="20"/>
              </w:rPr>
            </w:pPr>
            <w:r w:rsidRPr="00333ECC">
              <w:rPr>
                <w:rFonts w:ascii="Arial" w:hAnsi="Arial" w:cs="Arial"/>
                <w:b/>
                <w:bCs/>
                <w:sz w:val="20"/>
                <w:szCs w:val="20"/>
              </w:rPr>
              <w:t>116 516</w:t>
            </w:r>
          </w:p>
        </w:tc>
        <w:tc>
          <w:tcPr>
            <w:tcW w:w="1620" w:type="dxa"/>
            <w:tcBorders>
              <w:top w:val="nil"/>
              <w:right w:val="double" w:sz="4" w:space="0" w:color="auto"/>
            </w:tcBorders>
            <w:noWrap/>
            <w:vAlign w:val="bottom"/>
          </w:tcPr>
          <w:p w:rsidR="007D7AFA" w:rsidRPr="00333ECC" w:rsidRDefault="007D7AFA" w:rsidP="007652AD">
            <w:pPr>
              <w:tabs>
                <w:tab w:val="left" w:pos="1583"/>
              </w:tabs>
              <w:ind w:right="533"/>
              <w:jc w:val="right"/>
              <w:rPr>
                <w:rFonts w:ascii="Arial" w:hAnsi="Arial" w:cs="Arial"/>
                <w:b/>
                <w:bCs/>
                <w:sz w:val="20"/>
                <w:szCs w:val="20"/>
              </w:rPr>
            </w:pPr>
            <w:r w:rsidRPr="00333ECC">
              <w:rPr>
                <w:rFonts w:ascii="Arial" w:hAnsi="Arial" w:cs="Arial"/>
                <w:b/>
                <w:bCs/>
                <w:sz w:val="20"/>
                <w:szCs w:val="20"/>
              </w:rPr>
              <w:t>0,6%</w:t>
            </w:r>
          </w:p>
        </w:tc>
      </w:tr>
      <w:tr w:rsidR="007D7AFA" w:rsidRPr="00333ECC" w:rsidTr="007652AD">
        <w:trPr>
          <w:trHeight w:val="255"/>
        </w:trPr>
        <w:tc>
          <w:tcPr>
            <w:tcW w:w="2355" w:type="dxa"/>
            <w:tcBorders>
              <w:left w:val="double" w:sz="4" w:space="0" w:color="auto"/>
              <w:bottom w:val="nil"/>
            </w:tcBorders>
            <w:vAlign w:val="bottom"/>
          </w:tcPr>
          <w:p w:rsidR="007D7AFA" w:rsidRPr="00333ECC" w:rsidRDefault="007D7AFA" w:rsidP="007652AD">
            <w:pPr>
              <w:rPr>
                <w:rFonts w:ascii="Arial" w:hAnsi="Arial" w:cs="Arial"/>
                <w:b/>
                <w:bCs/>
                <w:sz w:val="20"/>
                <w:szCs w:val="20"/>
              </w:rPr>
            </w:pPr>
          </w:p>
        </w:tc>
        <w:tc>
          <w:tcPr>
            <w:tcW w:w="1659" w:type="dxa"/>
            <w:tcBorders>
              <w:bottom w:val="nil"/>
            </w:tcBorders>
            <w:vAlign w:val="bottom"/>
          </w:tcPr>
          <w:p w:rsidR="007D7AFA" w:rsidRPr="00333ECC" w:rsidRDefault="007D7AFA" w:rsidP="007652AD">
            <w:pPr>
              <w:ind w:right="187"/>
              <w:jc w:val="right"/>
              <w:rPr>
                <w:rFonts w:ascii="Arial" w:hAnsi="Arial" w:cs="Arial"/>
                <w:b/>
                <w:bCs/>
                <w:sz w:val="20"/>
                <w:szCs w:val="20"/>
              </w:rPr>
            </w:pPr>
          </w:p>
        </w:tc>
        <w:tc>
          <w:tcPr>
            <w:tcW w:w="1581" w:type="dxa"/>
            <w:tcBorders>
              <w:bottom w:val="nil"/>
            </w:tcBorders>
          </w:tcPr>
          <w:p w:rsidR="007D7AFA" w:rsidRPr="00333ECC" w:rsidRDefault="007D7AFA" w:rsidP="007652AD">
            <w:pPr>
              <w:ind w:right="187"/>
              <w:jc w:val="right"/>
              <w:rPr>
                <w:rFonts w:ascii="Arial" w:hAnsi="Arial" w:cs="Arial"/>
                <w:b/>
                <w:bCs/>
                <w:sz w:val="20"/>
                <w:szCs w:val="20"/>
              </w:rPr>
            </w:pPr>
          </w:p>
        </w:tc>
        <w:tc>
          <w:tcPr>
            <w:tcW w:w="1440" w:type="dxa"/>
            <w:tcBorders>
              <w:bottom w:val="nil"/>
            </w:tcBorders>
            <w:noWrap/>
            <w:vAlign w:val="bottom"/>
          </w:tcPr>
          <w:p w:rsidR="007D7AFA" w:rsidRPr="00333ECC" w:rsidRDefault="007D7AFA" w:rsidP="007652AD">
            <w:pPr>
              <w:ind w:right="187"/>
              <w:jc w:val="right"/>
              <w:rPr>
                <w:rFonts w:ascii="Arial" w:hAnsi="Arial" w:cs="Arial"/>
                <w:b/>
                <w:bCs/>
                <w:sz w:val="20"/>
                <w:szCs w:val="20"/>
              </w:rPr>
            </w:pPr>
          </w:p>
        </w:tc>
        <w:tc>
          <w:tcPr>
            <w:tcW w:w="1440" w:type="dxa"/>
            <w:tcBorders>
              <w:bottom w:val="nil"/>
            </w:tcBorders>
            <w:vAlign w:val="bottom"/>
          </w:tcPr>
          <w:p w:rsidR="007D7AFA" w:rsidRPr="00333ECC" w:rsidRDefault="007D7AFA" w:rsidP="007652AD">
            <w:pPr>
              <w:ind w:right="187"/>
              <w:jc w:val="right"/>
              <w:rPr>
                <w:rFonts w:ascii="Arial" w:hAnsi="Arial" w:cs="Arial"/>
                <w:b/>
                <w:bCs/>
                <w:sz w:val="20"/>
                <w:szCs w:val="20"/>
              </w:rPr>
            </w:pPr>
          </w:p>
        </w:tc>
        <w:tc>
          <w:tcPr>
            <w:tcW w:w="1620" w:type="dxa"/>
            <w:tcBorders>
              <w:bottom w:val="nil"/>
              <w:right w:val="double" w:sz="4" w:space="0" w:color="auto"/>
            </w:tcBorders>
            <w:noWrap/>
            <w:vAlign w:val="bottom"/>
          </w:tcPr>
          <w:p w:rsidR="007D7AFA" w:rsidRPr="00333ECC" w:rsidRDefault="007D7AFA" w:rsidP="007652AD">
            <w:pPr>
              <w:tabs>
                <w:tab w:val="left" w:pos="1583"/>
              </w:tabs>
              <w:ind w:right="533"/>
              <w:jc w:val="right"/>
              <w:rPr>
                <w:rFonts w:ascii="Arial" w:hAnsi="Arial" w:cs="Arial"/>
                <w:b/>
                <w:bCs/>
                <w:sz w:val="20"/>
                <w:szCs w:val="20"/>
              </w:rPr>
            </w:pPr>
          </w:p>
        </w:tc>
      </w:tr>
      <w:tr w:rsidR="007D7AFA" w:rsidRPr="00333ECC" w:rsidTr="007652AD">
        <w:trPr>
          <w:trHeight w:val="255"/>
        </w:trPr>
        <w:tc>
          <w:tcPr>
            <w:tcW w:w="2355" w:type="dxa"/>
            <w:tcBorders>
              <w:top w:val="nil"/>
              <w:left w:val="double" w:sz="4" w:space="0" w:color="auto"/>
            </w:tcBorders>
            <w:vAlign w:val="bottom"/>
          </w:tcPr>
          <w:p w:rsidR="007D7AFA" w:rsidRPr="00333ECC" w:rsidRDefault="007D7AFA" w:rsidP="007652AD">
            <w:pPr>
              <w:rPr>
                <w:rFonts w:ascii="Arial" w:hAnsi="Arial" w:cs="Arial"/>
                <w:b/>
                <w:bCs/>
                <w:sz w:val="20"/>
                <w:szCs w:val="20"/>
                <w:u w:val="single"/>
              </w:rPr>
            </w:pPr>
            <w:r w:rsidRPr="00333ECC">
              <w:rPr>
                <w:rFonts w:ascii="Arial" w:hAnsi="Arial" w:cs="Arial"/>
                <w:b/>
                <w:bCs/>
                <w:sz w:val="20"/>
                <w:szCs w:val="20"/>
                <w:u w:val="single"/>
              </w:rPr>
              <w:t>12. Всичко СЛЕДПРИСЪЕДИНИТЕЛНИ (сума от 8 до 11)</w:t>
            </w:r>
          </w:p>
        </w:tc>
        <w:tc>
          <w:tcPr>
            <w:tcW w:w="1659" w:type="dxa"/>
            <w:tcBorders>
              <w:top w:val="nil"/>
            </w:tcBorders>
            <w:vAlign w:val="bottom"/>
          </w:tcPr>
          <w:p w:rsidR="007D7AFA" w:rsidRPr="00333ECC" w:rsidRDefault="007D7AFA" w:rsidP="007652AD">
            <w:pPr>
              <w:ind w:right="187"/>
              <w:jc w:val="right"/>
              <w:rPr>
                <w:rFonts w:ascii="Arial" w:hAnsi="Arial" w:cs="Arial"/>
                <w:b/>
                <w:bCs/>
                <w:sz w:val="20"/>
                <w:szCs w:val="20"/>
                <w:u w:val="single"/>
              </w:rPr>
            </w:pPr>
            <w:r w:rsidRPr="00333ECC">
              <w:rPr>
                <w:rFonts w:ascii="Arial" w:hAnsi="Arial" w:cs="Arial"/>
                <w:b/>
                <w:bCs/>
                <w:sz w:val="20"/>
                <w:szCs w:val="20"/>
                <w:u w:val="single"/>
              </w:rPr>
              <w:t>3 487 980 117</w:t>
            </w:r>
          </w:p>
        </w:tc>
        <w:tc>
          <w:tcPr>
            <w:tcW w:w="1581" w:type="dxa"/>
            <w:tcBorders>
              <w:top w:val="nil"/>
            </w:tcBorders>
          </w:tcPr>
          <w:p w:rsidR="007D7AFA" w:rsidRPr="00333ECC" w:rsidRDefault="007D7AFA" w:rsidP="007652AD">
            <w:pPr>
              <w:ind w:right="187"/>
              <w:jc w:val="right"/>
              <w:rPr>
                <w:rFonts w:ascii="Arial" w:hAnsi="Arial" w:cs="Arial"/>
                <w:b/>
                <w:bCs/>
                <w:sz w:val="20"/>
                <w:szCs w:val="20"/>
                <w:u w:val="single"/>
              </w:rPr>
            </w:pPr>
          </w:p>
        </w:tc>
        <w:tc>
          <w:tcPr>
            <w:tcW w:w="1440" w:type="dxa"/>
            <w:tcBorders>
              <w:top w:val="nil"/>
            </w:tcBorders>
            <w:noWrap/>
            <w:vAlign w:val="bottom"/>
          </w:tcPr>
          <w:p w:rsidR="007D7AFA" w:rsidRPr="00333ECC" w:rsidRDefault="007D7AFA" w:rsidP="007652AD">
            <w:pPr>
              <w:ind w:right="187"/>
              <w:jc w:val="right"/>
              <w:rPr>
                <w:rFonts w:ascii="Arial" w:hAnsi="Arial" w:cs="Arial"/>
                <w:b/>
                <w:bCs/>
                <w:sz w:val="20"/>
                <w:szCs w:val="20"/>
                <w:u w:val="single"/>
              </w:rPr>
            </w:pPr>
          </w:p>
        </w:tc>
        <w:tc>
          <w:tcPr>
            <w:tcW w:w="1440" w:type="dxa"/>
            <w:tcBorders>
              <w:top w:val="nil"/>
            </w:tcBorders>
            <w:vAlign w:val="bottom"/>
          </w:tcPr>
          <w:p w:rsidR="007D7AFA" w:rsidRPr="00333ECC" w:rsidRDefault="007D7AFA" w:rsidP="007652AD">
            <w:pPr>
              <w:ind w:right="187"/>
              <w:jc w:val="right"/>
              <w:rPr>
                <w:rFonts w:ascii="Arial" w:hAnsi="Arial" w:cs="Arial"/>
                <w:b/>
                <w:bCs/>
                <w:sz w:val="20"/>
                <w:szCs w:val="20"/>
                <w:u w:val="single"/>
              </w:rPr>
            </w:pPr>
            <w:r w:rsidRPr="00333ECC">
              <w:rPr>
                <w:rFonts w:ascii="Arial" w:hAnsi="Arial" w:cs="Arial"/>
                <w:b/>
                <w:bCs/>
                <w:sz w:val="20"/>
                <w:szCs w:val="20"/>
                <w:u w:val="single"/>
              </w:rPr>
              <w:t>416 464 311</w:t>
            </w:r>
          </w:p>
        </w:tc>
        <w:tc>
          <w:tcPr>
            <w:tcW w:w="1620" w:type="dxa"/>
            <w:tcBorders>
              <w:top w:val="nil"/>
              <w:right w:val="double" w:sz="4" w:space="0" w:color="auto"/>
            </w:tcBorders>
            <w:noWrap/>
            <w:vAlign w:val="bottom"/>
          </w:tcPr>
          <w:p w:rsidR="007D7AFA" w:rsidRPr="00333ECC" w:rsidRDefault="007D7AFA" w:rsidP="007652AD">
            <w:pPr>
              <w:tabs>
                <w:tab w:val="left" w:pos="1583"/>
              </w:tabs>
              <w:ind w:right="533"/>
              <w:jc w:val="right"/>
              <w:rPr>
                <w:rFonts w:ascii="Arial" w:hAnsi="Arial" w:cs="Arial"/>
                <w:b/>
                <w:bCs/>
                <w:sz w:val="20"/>
                <w:szCs w:val="20"/>
                <w:u w:val="single"/>
              </w:rPr>
            </w:pPr>
            <w:r w:rsidRPr="00333ECC">
              <w:rPr>
                <w:rFonts w:ascii="Arial" w:hAnsi="Arial" w:cs="Arial"/>
                <w:b/>
                <w:bCs/>
                <w:sz w:val="20"/>
                <w:szCs w:val="20"/>
                <w:u w:val="single"/>
              </w:rPr>
              <w:t>11,9%</w:t>
            </w:r>
          </w:p>
        </w:tc>
      </w:tr>
    </w:tbl>
    <w:p w:rsidR="007D7AFA" w:rsidRDefault="007D7AFA" w:rsidP="00662A4E">
      <w:pPr>
        <w:ind w:firstLine="720"/>
        <w:jc w:val="both"/>
        <w:rPr>
          <w:rFonts w:ascii="Times New Roman" w:hAnsi="Times New Roman"/>
          <w:sz w:val="26"/>
          <w:szCs w:val="26"/>
        </w:rPr>
      </w:pPr>
    </w:p>
    <w:p w:rsidR="007D7AFA" w:rsidRPr="006D000A" w:rsidRDefault="007D7AFA" w:rsidP="006D000A">
      <w:pPr>
        <w:ind w:firstLine="720"/>
        <w:jc w:val="both"/>
        <w:rPr>
          <w:rFonts w:ascii="Times New Roman" w:hAnsi="Times New Roman"/>
          <w:sz w:val="26"/>
          <w:szCs w:val="26"/>
        </w:rPr>
      </w:pPr>
      <w:r w:rsidRPr="006D000A">
        <w:rPr>
          <w:rFonts w:ascii="Times New Roman" w:hAnsi="Times New Roman"/>
          <w:sz w:val="26"/>
          <w:szCs w:val="26"/>
        </w:rPr>
        <w:t>По оперативните програми са разплатени едва 8% от средствата, определени за първите три години от програмния период 2007-2013 г.</w:t>
      </w:r>
    </w:p>
    <w:p w:rsidR="007D7AFA" w:rsidRPr="006D000A" w:rsidRDefault="007D7AFA" w:rsidP="006D000A">
      <w:pPr>
        <w:ind w:firstLine="720"/>
        <w:jc w:val="both"/>
        <w:rPr>
          <w:rFonts w:ascii="Times New Roman" w:hAnsi="Times New Roman"/>
          <w:sz w:val="26"/>
          <w:szCs w:val="26"/>
        </w:rPr>
      </w:pPr>
      <w:r w:rsidRPr="006D000A">
        <w:rPr>
          <w:rFonts w:ascii="Times New Roman" w:hAnsi="Times New Roman"/>
          <w:sz w:val="26"/>
          <w:szCs w:val="26"/>
        </w:rPr>
        <w:t>Програма ИСПА, по която проектите трябва да бъдат завършени и разплатени до края на 2010 г., е усвоена едва на 41%, а програма САПАРД, която приключи през 2009 г. е разплатена едва на 76%.</w:t>
      </w:r>
    </w:p>
    <w:p w:rsidR="007D7AFA" w:rsidRPr="006D000A" w:rsidRDefault="007D7AFA" w:rsidP="00662A4E">
      <w:pPr>
        <w:ind w:firstLine="720"/>
        <w:jc w:val="both"/>
        <w:rPr>
          <w:rFonts w:ascii="Times New Roman" w:hAnsi="Times New Roman"/>
          <w:sz w:val="26"/>
          <w:szCs w:val="26"/>
        </w:rPr>
      </w:pPr>
    </w:p>
    <w:p w:rsidR="007D7AFA" w:rsidRDefault="007D7AFA" w:rsidP="00E8247A">
      <w:pPr>
        <w:numPr>
          <w:ilvl w:val="0"/>
          <w:numId w:val="40"/>
        </w:numPr>
        <w:jc w:val="both"/>
        <w:rPr>
          <w:rFonts w:ascii="Times New Roman" w:hAnsi="Times New Roman"/>
          <w:b/>
          <w:bCs/>
          <w:sz w:val="26"/>
          <w:szCs w:val="26"/>
          <w:u w:val="single"/>
        </w:rPr>
      </w:pPr>
      <w:r w:rsidRPr="00662A4E">
        <w:rPr>
          <w:rFonts w:ascii="Times New Roman" w:hAnsi="Times New Roman"/>
          <w:b/>
          <w:bCs/>
          <w:sz w:val="26"/>
          <w:szCs w:val="26"/>
          <w:u w:val="single"/>
        </w:rPr>
        <w:t xml:space="preserve">ОПЕРАТИВНА ПРОГРАМА РАЗВИТИЕ НА </w:t>
      </w:r>
      <w:r>
        <w:rPr>
          <w:rFonts w:ascii="Times New Roman" w:hAnsi="Times New Roman"/>
          <w:b/>
          <w:bCs/>
          <w:sz w:val="26"/>
          <w:szCs w:val="26"/>
          <w:u w:val="single"/>
        </w:rPr>
        <w:t>КОНКУРЕНТОСПОСОБНОСТТА НА БЪЛГАРСКАТА ИКОНОВИКА</w:t>
      </w:r>
    </w:p>
    <w:p w:rsidR="007D7AFA" w:rsidRPr="00E8247A" w:rsidRDefault="007D7AFA" w:rsidP="00E8247A">
      <w:pPr>
        <w:jc w:val="both"/>
        <w:rPr>
          <w:rFonts w:ascii="Times New Roman" w:hAnsi="Times New Roman"/>
          <w:sz w:val="28"/>
          <w:szCs w:val="28"/>
        </w:rPr>
      </w:pPr>
    </w:p>
    <w:p w:rsidR="007D7AFA" w:rsidRDefault="007D7AFA" w:rsidP="00E8247A">
      <w:pPr>
        <w:numPr>
          <w:ilvl w:val="1"/>
          <w:numId w:val="40"/>
        </w:numPr>
        <w:ind w:left="567" w:hanging="567"/>
        <w:jc w:val="both"/>
        <w:rPr>
          <w:rFonts w:ascii="Times New Roman" w:hAnsi="Times New Roman"/>
          <w:sz w:val="26"/>
          <w:szCs w:val="26"/>
        </w:rPr>
      </w:pPr>
      <w:r w:rsidRPr="00E8247A">
        <w:rPr>
          <w:rFonts w:ascii="Times New Roman" w:hAnsi="Times New Roman"/>
          <w:sz w:val="26"/>
          <w:szCs w:val="26"/>
        </w:rPr>
        <w:t>Предварителен етап – информация по програмата, програмните цели, приоритетни оси, операции и конкретни схеми:</w:t>
      </w:r>
    </w:p>
    <w:p w:rsidR="007D7AFA" w:rsidRPr="00E8247A" w:rsidRDefault="007D7AFA" w:rsidP="00E8247A">
      <w:pPr>
        <w:numPr>
          <w:ilvl w:val="0"/>
          <w:numId w:val="47"/>
        </w:numPr>
        <w:ind w:hanging="294"/>
        <w:jc w:val="both"/>
        <w:rPr>
          <w:rFonts w:ascii="Times New Roman" w:hAnsi="Times New Roman"/>
          <w:sz w:val="26"/>
          <w:szCs w:val="26"/>
        </w:rPr>
      </w:pPr>
      <w:r w:rsidRPr="00E8247A">
        <w:rPr>
          <w:rFonts w:ascii="Times New Roman" w:hAnsi="Times New Roman"/>
          <w:sz w:val="26"/>
          <w:szCs w:val="26"/>
        </w:rPr>
        <w:t>Забравя се основната задача на този етап – да провокира интерес и активност сред реципиентите с оглед превръщането им в бенефициенти</w:t>
      </w:r>
      <w:r w:rsidRPr="00E8247A">
        <w:rPr>
          <w:rStyle w:val="FootnoteReference"/>
          <w:rFonts w:ascii="Times New Roman" w:hAnsi="Times New Roman"/>
          <w:sz w:val="26"/>
          <w:szCs w:val="26"/>
        </w:rPr>
        <w:footnoteReference w:id="2"/>
      </w:r>
      <w:r w:rsidRPr="00E8247A">
        <w:rPr>
          <w:rFonts w:ascii="Times New Roman" w:hAnsi="Times New Roman"/>
          <w:sz w:val="26"/>
          <w:szCs w:val="26"/>
        </w:rPr>
        <w:t>;</w:t>
      </w:r>
    </w:p>
    <w:p w:rsidR="007D7AFA" w:rsidRPr="00E8247A" w:rsidRDefault="007D7AFA" w:rsidP="00E8247A">
      <w:pPr>
        <w:numPr>
          <w:ilvl w:val="0"/>
          <w:numId w:val="47"/>
        </w:numPr>
        <w:ind w:hanging="294"/>
        <w:jc w:val="both"/>
        <w:rPr>
          <w:rFonts w:ascii="Times New Roman" w:hAnsi="Times New Roman"/>
          <w:sz w:val="26"/>
          <w:szCs w:val="26"/>
        </w:rPr>
      </w:pPr>
      <w:r w:rsidRPr="00E8247A">
        <w:rPr>
          <w:rFonts w:ascii="Times New Roman" w:hAnsi="Times New Roman"/>
          <w:sz w:val="26"/>
          <w:szCs w:val="26"/>
        </w:rPr>
        <w:t>Недостатъчна комуникативност от страна на Управляващия орган (УО) – МИЕТ и Междинното звено (МЗ) – ИАНМСП;</w:t>
      </w:r>
    </w:p>
    <w:p w:rsidR="007D7AFA" w:rsidRPr="00E8247A" w:rsidRDefault="007D7AFA" w:rsidP="00E8247A">
      <w:pPr>
        <w:numPr>
          <w:ilvl w:val="0"/>
          <w:numId w:val="47"/>
        </w:numPr>
        <w:ind w:hanging="294"/>
        <w:jc w:val="both"/>
        <w:rPr>
          <w:rFonts w:ascii="Times New Roman" w:hAnsi="Times New Roman"/>
          <w:sz w:val="26"/>
          <w:szCs w:val="26"/>
        </w:rPr>
      </w:pPr>
      <w:r w:rsidRPr="00E8247A">
        <w:rPr>
          <w:rFonts w:ascii="Times New Roman" w:hAnsi="Times New Roman"/>
          <w:sz w:val="26"/>
          <w:szCs w:val="26"/>
        </w:rPr>
        <w:t>МЗ има девет регионални и един централен офис, но впечатлението е, че не са равнопоставени като информационни центрове – определено има необходимост от обучение на регионалните звена;</w:t>
      </w:r>
    </w:p>
    <w:p w:rsidR="007D7AFA" w:rsidRPr="00E8247A" w:rsidRDefault="007D7AFA" w:rsidP="00E8247A">
      <w:pPr>
        <w:numPr>
          <w:ilvl w:val="0"/>
          <w:numId w:val="47"/>
        </w:numPr>
        <w:ind w:hanging="294"/>
        <w:jc w:val="both"/>
        <w:rPr>
          <w:rFonts w:ascii="Times New Roman" w:hAnsi="Times New Roman"/>
          <w:sz w:val="26"/>
          <w:szCs w:val="26"/>
        </w:rPr>
      </w:pPr>
      <w:r w:rsidRPr="00E8247A">
        <w:rPr>
          <w:rFonts w:ascii="Times New Roman" w:hAnsi="Times New Roman"/>
          <w:sz w:val="26"/>
          <w:szCs w:val="26"/>
        </w:rPr>
        <w:t>Не се използва капацитетът на социалните партньори и преди всичко на бизнес организациите – както на национално, респективно регионално ниво (представителни работодателски организации), така и на браншово ниво</w:t>
      </w:r>
      <w:r w:rsidRPr="00E8247A">
        <w:rPr>
          <w:rStyle w:val="FootnoteReference"/>
          <w:rFonts w:ascii="Times New Roman" w:hAnsi="Times New Roman"/>
          <w:sz w:val="26"/>
          <w:szCs w:val="26"/>
        </w:rPr>
        <w:footnoteReference w:id="3"/>
      </w:r>
      <w:r w:rsidRPr="00E8247A">
        <w:rPr>
          <w:rFonts w:ascii="Times New Roman" w:hAnsi="Times New Roman"/>
          <w:sz w:val="26"/>
          <w:szCs w:val="26"/>
        </w:rPr>
        <w:t xml:space="preserve">. Впрочем </w:t>
      </w:r>
      <w:r w:rsidRPr="00E8247A">
        <w:rPr>
          <w:rFonts w:ascii="Times New Roman" w:hAnsi="Times New Roman"/>
          <w:color w:val="000000"/>
          <w:sz w:val="26"/>
          <w:szCs w:val="26"/>
        </w:rPr>
        <w:t>Регламент № 1828/2006 препоръчва на УО при популяризирането на информацията да използва съдействието на поне един от следните субекти – национални, регионални или местни власти, агенции за развитие, икономически и социални партньори, организации, представляващи бизнеса, професионални и търговски сдружения, НПО, образователни институции, информационни центрове на ЕС, както и представителството на ЕК в съответната държава</w:t>
      </w:r>
      <w:r w:rsidRPr="00E8247A">
        <w:rPr>
          <w:rFonts w:ascii="Times New Roman" w:hAnsi="Times New Roman"/>
          <w:sz w:val="26"/>
          <w:szCs w:val="26"/>
        </w:rPr>
        <w:t>;</w:t>
      </w:r>
    </w:p>
    <w:p w:rsidR="007D7AFA" w:rsidRPr="00E8247A" w:rsidRDefault="007D7AFA" w:rsidP="00E8247A">
      <w:pPr>
        <w:numPr>
          <w:ilvl w:val="0"/>
          <w:numId w:val="47"/>
        </w:numPr>
        <w:ind w:hanging="294"/>
        <w:jc w:val="both"/>
        <w:rPr>
          <w:rFonts w:ascii="Times New Roman" w:hAnsi="Times New Roman"/>
          <w:sz w:val="26"/>
          <w:szCs w:val="26"/>
        </w:rPr>
      </w:pPr>
      <w:r w:rsidRPr="00E8247A">
        <w:rPr>
          <w:rFonts w:ascii="Times New Roman" w:hAnsi="Times New Roman"/>
          <w:sz w:val="26"/>
          <w:szCs w:val="26"/>
        </w:rPr>
        <w:t>Не се популяризират добри практики – това има съществено значение за повишаване доверието към процеса като цяло и в частност обективността на оценяващи органи и МЗ и равнопоставеността на реципиенти, съответно бенефициенти;</w:t>
      </w:r>
    </w:p>
    <w:p w:rsidR="007D7AFA" w:rsidRPr="00E8247A" w:rsidRDefault="007D7AFA" w:rsidP="00E8247A">
      <w:pPr>
        <w:numPr>
          <w:ilvl w:val="0"/>
          <w:numId w:val="47"/>
        </w:numPr>
        <w:ind w:hanging="294"/>
        <w:jc w:val="both"/>
        <w:rPr>
          <w:rFonts w:ascii="Times New Roman" w:hAnsi="Times New Roman"/>
          <w:sz w:val="26"/>
          <w:szCs w:val="26"/>
        </w:rPr>
      </w:pPr>
      <w:r w:rsidRPr="00E8247A">
        <w:rPr>
          <w:rFonts w:ascii="Times New Roman" w:hAnsi="Times New Roman"/>
          <w:color w:val="000000"/>
          <w:sz w:val="26"/>
          <w:szCs w:val="26"/>
        </w:rPr>
        <w:t>На практика липсва диалогичност и постоянна обратна връзка с целевите групи за сверяване на нуждите от информация.</w:t>
      </w:r>
    </w:p>
    <w:p w:rsidR="007D7AFA" w:rsidRPr="003B6916" w:rsidRDefault="007D7AFA" w:rsidP="003B6916">
      <w:pPr>
        <w:pStyle w:val="ListParagraph"/>
        <w:rPr>
          <w:rFonts w:ascii="Times New Roman" w:hAnsi="Times New Roman"/>
          <w:sz w:val="26"/>
          <w:szCs w:val="26"/>
        </w:rPr>
      </w:pPr>
    </w:p>
    <w:p w:rsidR="007D7AFA" w:rsidRDefault="007D7AFA" w:rsidP="002156F2">
      <w:pPr>
        <w:numPr>
          <w:ilvl w:val="1"/>
          <w:numId w:val="40"/>
        </w:numPr>
        <w:ind w:left="567" w:hanging="567"/>
        <w:jc w:val="both"/>
        <w:rPr>
          <w:rFonts w:ascii="Times New Roman" w:hAnsi="Times New Roman"/>
          <w:sz w:val="26"/>
          <w:szCs w:val="26"/>
        </w:rPr>
      </w:pPr>
      <w:r>
        <w:rPr>
          <w:rFonts w:ascii="Times New Roman" w:hAnsi="Times New Roman"/>
          <w:sz w:val="26"/>
          <w:szCs w:val="26"/>
        </w:rPr>
        <w:t>Етап Подготовка и представяне на проект за кандидатстване по ОП:</w:t>
      </w:r>
    </w:p>
    <w:p w:rsidR="007D7AFA" w:rsidRPr="002156F2" w:rsidRDefault="007D7AFA" w:rsidP="002156F2">
      <w:pPr>
        <w:numPr>
          <w:ilvl w:val="0"/>
          <w:numId w:val="47"/>
        </w:numPr>
        <w:jc w:val="both"/>
        <w:rPr>
          <w:rFonts w:ascii="Times New Roman" w:hAnsi="Times New Roman"/>
          <w:sz w:val="26"/>
          <w:szCs w:val="26"/>
        </w:rPr>
      </w:pPr>
      <w:r w:rsidRPr="003B6916">
        <w:rPr>
          <w:rFonts w:ascii="Times New Roman" w:hAnsi="Times New Roman"/>
          <w:sz w:val="26"/>
          <w:szCs w:val="26"/>
        </w:rPr>
        <w:t>Важно е да се осигури прозрачност и информационна достъпност по отношение процедурите за кандидатстване, в т.ч. ясни и конкретни условия за</w:t>
      </w:r>
      <w:r w:rsidRPr="002156F2">
        <w:rPr>
          <w:rFonts w:ascii="Times New Roman" w:hAnsi="Times New Roman"/>
          <w:sz w:val="26"/>
          <w:szCs w:val="26"/>
        </w:rPr>
        <w:t xml:space="preserve"> допустимост, ясно и конкретно описание на приложимите административни процедури, включително времеви график, информация за начина на оценяване на проектните предложения, в т.ч. критериите за избор, оценителска методика и т.н.;</w:t>
      </w:r>
    </w:p>
    <w:p w:rsidR="007D7AFA" w:rsidRPr="002156F2" w:rsidRDefault="007D7AFA" w:rsidP="002156F2">
      <w:pPr>
        <w:numPr>
          <w:ilvl w:val="0"/>
          <w:numId w:val="47"/>
        </w:numPr>
        <w:jc w:val="both"/>
        <w:rPr>
          <w:rFonts w:ascii="Times New Roman" w:hAnsi="Times New Roman"/>
          <w:sz w:val="26"/>
          <w:szCs w:val="26"/>
        </w:rPr>
      </w:pPr>
      <w:r w:rsidRPr="002156F2">
        <w:rPr>
          <w:rFonts w:ascii="Times New Roman" w:hAnsi="Times New Roman"/>
          <w:sz w:val="26"/>
          <w:szCs w:val="26"/>
        </w:rPr>
        <w:t>Удачно е да се разработят и публикуват материали, които да позволят на потенциалните бенефициенти да проверят предварително и самостоятелно административното съответствие и допустимостта на проектните си предложения;</w:t>
      </w:r>
    </w:p>
    <w:p w:rsidR="007D7AFA" w:rsidRPr="002156F2" w:rsidRDefault="007D7AFA" w:rsidP="002156F2">
      <w:pPr>
        <w:numPr>
          <w:ilvl w:val="0"/>
          <w:numId w:val="47"/>
        </w:numPr>
        <w:jc w:val="both"/>
        <w:rPr>
          <w:rFonts w:ascii="Times New Roman" w:hAnsi="Times New Roman"/>
          <w:sz w:val="26"/>
          <w:szCs w:val="26"/>
        </w:rPr>
      </w:pPr>
      <w:r w:rsidRPr="002156F2">
        <w:rPr>
          <w:rFonts w:ascii="Times New Roman" w:hAnsi="Times New Roman"/>
          <w:sz w:val="26"/>
          <w:szCs w:val="26"/>
        </w:rPr>
        <w:t>Удачно е да се разработят индикаторни матрици – вече има натрупан опит в МЗ за това какви са най-често срещаните индикатори, този опит следва да се популяризира</w:t>
      </w:r>
      <w:r w:rsidRPr="002156F2">
        <w:rPr>
          <w:rStyle w:val="FootnoteReference"/>
          <w:rFonts w:ascii="Times New Roman" w:hAnsi="Times New Roman"/>
          <w:sz w:val="26"/>
          <w:szCs w:val="26"/>
        </w:rPr>
        <w:footnoteReference w:id="4"/>
      </w:r>
      <w:r w:rsidRPr="002156F2">
        <w:rPr>
          <w:rFonts w:ascii="Times New Roman" w:hAnsi="Times New Roman"/>
          <w:sz w:val="26"/>
          <w:szCs w:val="26"/>
        </w:rPr>
        <w:t xml:space="preserve"> - опитът показва, че реципиентите срещат затруднения с тази част от формулярите за кандидатстване, а този раздел има пряко и съществено значение за успешното отчитане изпълнението на проектите впоследствие;</w:t>
      </w:r>
    </w:p>
    <w:p w:rsidR="007D7AFA" w:rsidRPr="002156F2" w:rsidRDefault="007D7AFA" w:rsidP="002156F2">
      <w:pPr>
        <w:numPr>
          <w:ilvl w:val="0"/>
          <w:numId w:val="47"/>
        </w:numPr>
        <w:jc w:val="both"/>
        <w:rPr>
          <w:rFonts w:ascii="Times New Roman" w:hAnsi="Times New Roman"/>
          <w:sz w:val="26"/>
          <w:szCs w:val="26"/>
        </w:rPr>
      </w:pPr>
      <w:r w:rsidRPr="002156F2">
        <w:rPr>
          <w:rFonts w:ascii="Times New Roman" w:hAnsi="Times New Roman"/>
          <w:sz w:val="26"/>
          <w:szCs w:val="26"/>
          <w:lang w:val="ru-RU"/>
        </w:rPr>
        <w:t>С цел опростяване на процедурите за кандидатстване да се извърши преглед на Насоките за кандидатстване, Оперативните ръководства, Общите условия към договорите – препоръчваме това да стане с участието на експерти и от страна на бизнес организациите;</w:t>
      </w:r>
    </w:p>
    <w:p w:rsidR="007D7AFA" w:rsidRPr="002156F2" w:rsidRDefault="007D7AFA" w:rsidP="002156F2">
      <w:pPr>
        <w:numPr>
          <w:ilvl w:val="0"/>
          <w:numId w:val="47"/>
        </w:numPr>
        <w:jc w:val="both"/>
        <w:rPr>
          <w:rFonts w:ascii="Times New Roman" w:hAnsi="Times New Roman"/>
          <w:sz w:val="26"/>
          <w:szCs w:val="26"/>
        </w:rPr>
      </w:pPr>
      <w:r w:rsidRPr="002156F2">
        <w:rPr>
          <w:rFonts w:ascii="Times New Roman" w:hAnsi="Times New Roman"/>
          <w:color w:val="000000"/>
          <w:sz w:val="26"/>
          <w:szCs w:val="26"/>
          <w:lang w:val="ru-RU"/>
        </w:rPr>
        <w:t>УО да синхронизира едновременното изготвяне и публикуване на Насоките за кандидатстване</w:t>
      </w:r>
      <w:r w:rsidRPr="002156F2">
        <w:rPr>
          <w:rFonts w:ascii="Times New Roman" w:hAnsi="Times New Roman"/>
          <w:color w:val="000000"/>
          <w:sz w:val="26"/>
          <w:szCs w:val="26"/>
        </w:rPr>
        <w:t xml:space="preserve"> </w:t>
      </w:r>
      <w:r w:rsidRPr="002156F2">
        <w:rPr>
          <w:rFonts w:ascii="Times New Roman" w:hAnsi="Times New Roman"/>
          <w:color w:val="000000"/>
          <w:sz w:val="26"/>
          <w:szCs w:val="26"/>
          <w:lang w:val="ru-RU"/>
        </w:rPr>
        <w:t>и Оперативното ръководство за техническо и финансово изпълнение с цел по-доброто регламентиранена процеса на кандидатстване;</w:t>
      </w:r>
    </w:p>
    <w:p w:rsidR="007D7AFA" w:rsidRPr="002156F2" w:rsidRDefault="007D7AFA" w:rsidP="002156F2">
      <w:pPr>
        <w:numPr>
          <w:ilvl w:val="0"/>
          <w:numId w:val="47"/>
        </w:numPr>
        <w:jc w:val="both"/>
        <w:rPr>
          <w:rFonts w:ascii="Times New Roman" w:hAnsi="Times New Roman"/>
          <w:sz w:val="26"/>
          <w:szCs w:val="26"/>
        </w:rPr>
      </w:pPr>
      <w:r w:rsidRPr="002156F2">
        <w:rPr>
          <w:rFonts w:ascii="Times New Roman" w:hAnsi="Times New Roman"/>
          <w:sz w:val="26"/>
          <w:szCs w:val="26"/>
        </w:rPr>
        <w:t>Да се насърчава самостоятелното разработване на проектните предложения – това ще позволи адекватно реализиране и отчитане впоследствие</w:t>
      </w:r>
      <w:r w:rsidRPr="002156F2">
        <w:rPr>
          <w:rStyle w:val="FootnoteReference"/>
          <w:rFonts w:ascii="Times New Roman" w:hAnsi="Times New Roman"/>
          <w:sz w:val="26"/>
          <w:szCs w:val="26"/>
        </w:rPr>
        <w:footnoteReference w:id="5"/>
      </w:r>
      <w:r w:rsidRPr="002156F2">
        <w:rPr>
          <w:rFonts w:ascii="Times New Roman" w:hAnsi="Times New Roman"/>
          <w:sz w:val="26"/>
          <w:szCs w:val="26"/>
        </w:rPr>
        <w:t>;</w:t>
      </w:r>
    </w:p>
    <w:p w:rsidR="007D7AFA" w:rsidRPr="002156F2" w:rsidRDefault="007D7AFA" w:rsidP="002156F2">
      <w:pPr>
        <w:numPr>
          <w:ilvl w:val="0"/>
          <w:numId w:val="47"/>
        </w:numPr>
        <w:jc w:val="both"/>
        <w:rPr>
          <w:rFonts w:ascii="Times New Roman" w:hAnsi="Times New Roman"/>
          <w:sz w:val="26"/>
          <w:szCs w:val="26"/>
        </w:rPr>
      </w:pPr>
      <w:r w:rsidRPr="002156F2">
        <w:rPr>
          <w:rFonts w:ascii="Times New Roman" w:hAnsi="Times New Roman"/>
          <w:sz w:val="26"/>
          <w:szCs w:val="26"/>
        </w:rPr>
        <w:t>Не се използва административния капацитет на социалните партньори (виж забележка 2 по-горе), а това е също добра възможност за консултиране на реципиентите, което ще ограничи предоставянето на псевдоконсултантски (а реално агентски) услуги;</w:t>
      </w:r>
    </w:p>
    <w:p w:rsidR="007D7AFA" w:rsidRDefault="007D7AFA" w:rsidP="002156F2">
      <w:pPr>
        <w:numPr>
          <w:ilvl w:val="0"/>
          <w:numId w:val="47"/>
        </w:numPr>
        <w:jc w:val="both"/>
        <w:rPr>
          <w:rFonts w:ascii="Times New Roman" w:hAnsi="Times New Roman"/>
          <w:sz w:val="26"/>
          <w:szCs w:val="26"/>
        </w:rPr>
      </w:pPr>
      <w:r w:rsidRPr="002156F2">
        <w:rPr>
          <w:rFonts w:ascii="Times New Roman" w:hAnsi="Times New Roman"/>
          <w:sz w:val="26"/>
          <w:szCs w:val="26"/>
        </w:rPr>
        <w:t>Неадекватна съществуваща система „Въпроси-отговори” – на практика отговорите от страна на МЗ са незадоволителни, повърхностни и препращат към текстове (правилници, насоки, инструкции, постановления и т.н.), които всъщност са породили въпросите;</w:t>
      </w:r>
    </w:p>
    <w:p w:rsidR="007D7AFA" w:rsidRPr="002156F2" w:rsidRDefault="007D7AFA" w:rsidP="002156F2">
      <w:pPr>
        <w:numPr>
          <w:ilvl w:val="0"/>
          <w:numId w:val="47"/>
        </w:numPr>
        <w:jc w:val="both"/>
        <w:rPr>
          <w:rFonts w:ascii="Times New Roman" w:hAnsi="Times New Roman"/>
          <w:sz w:val="26"/>
          <w:szCs w:val="26"/>
        </w:rPr>
      </w:pPr>
      <w:r>
        <w:rPr>
          <w:rFonts w:ascii="Times New Roman" w:hAnsi="Times New Roman"/>
          <w:sz w:val="26"/>
          <w:szCs w:val="26"/>
        </w:rPr>
        <w:t>Включване на типови документи – проекти, вид на счетоводни документи, тръжни документи в сайта на МЗ;</w:t>
      </w:r>
    </w:p>
    <w:p w:rsidR="007D7AFA" w:rsidRDefault="007D7AFA" w:rsidP="002156F2">
      <w:pPr>
        <w:numPr>
          <w:ilvl w:val="0"/>
          <w:numId w:val="47"/>
        </w:numPr>
        <w:jc w:val="both"/>
        <w:rPr>
          <w:rFonts w:ascii="Times New Roman" w:hAnsi="Times New Roman"/>
          <w:sz w:val="26"/>
          <w:szCs w:val="26"/>
        </w:rPr>
      </w:pPr>
      <w:r w:rsidRPr="002156F2">
        <w:rPr>
          <w:rFonts w:ascii="Times New Roman" w:hAnsi="Times New Roman"/>
          <w:sz w:val="26"/>
          <w:szCs w:val="26"/>
        </w:rPr>
        <w:t xml:space="preserve">Диалогичност в процеса на разработване на проектни предложения с определени служители в МЗ и по определен, конкретен механизъм. Това е особено важно за да </w:t>
      </w:r>
      <w:r>
        <w:rPr>
          <w:rFonts w:ascii="Times New Roman" w:hAnsi="Times New Roman"/>
          <w:sz w:val="26"/>
          <w:szCs w:val="26"/>
        </w:rPr>
        <w:t>се постигне формален пълноценен контакт като контрапункт на установени неформални контакти, явяващи се реална предпоставка за корупционни практики</w:t>
      </w:r>
      <w:r w:rsidRPr="002156F2">
        <w:rPr>
          <w:rFonts w:ascii="Times New Roman" w:hAnsi="Times New Roman"/>
          <w:sz w:val="26"/>
          <w:szCs w:val="26"/>
        </w:rPr>
        <w:t>;</w:t>
      </w:r>
    </w:p>
    <w:p w:rsidR="007D7AFA" w:rsidRPr="002156F2" w:rsidRDefault="007D7AFA" w:rsidP="002156F2">
      <w:pPr>
        <w:numPr>
          <w:ilvl w:val="0"/>
          <w:numId w:val="47"/>
        </w:numPr>
        <w:jc w:val="both"/>
        <w:rPr>
          <w:rFonts w:ascii="Times New Roman" w:hAnsi="Times New Roman"/>
          <w:sz w:val="26"/>
          <w:szCs w:val="26"/>
        </w:rPr>
      </w:pPr>
      <w:r>
        <w:rPr>
          <w:rFonts w:ascii="Times New Roman" w:hAnsi="Times New Roman"/>
          <w:sz w:val="26"/>
          <w:szCs w:val="26"/>
        </w:rPr>
        <w:t>Важно е предоставянето на писмена информация от страна на МЗ към неодобрените кандидати за причините, довели до отхвърляне на съответното проектно предложение. Това е силен аргумент в подкерпа на прозрачността и доверието към процеса, но така също ще доведе и до повишаване на степента на подготвеност на кандидата при следващо разработване на проектно предложение. Удачно е да се създаде и такава база данни – с причините за отказ и най-често срещаните грешки, пропуски, несъответствия и т.н., като тоав следва да е публично достояние</w:t>
      </w:r>
      <w:r>
        <w:rPr>
          <w:rStyle w:val="FootnoteReference"/>
          <w:rFonts w:ascii="Times New Roman" w:hAnsi="Times New Roman"/>
          <w:sz w:val="26"/>
          <w:szCs w:val="26"/>
        </w:rPr>
        <w:footnoteReference w:id="6"/>
      </w:r>
      <w:r>
        <w:rPr>
          <w:rFonts w:ascii="Times New Roman" w:hAnsi="Times New Roman"/>
          <w:sz w:val="26"/>
          <w:szCs w:val="26"/>
        </w:rPr>
        <w:t xml:space="preserve">;  </w:t>
      </w:r>
    </w:p>
    <w:p w:rsidR="007D7AFA" w:rsidRPr="002156F2" w:rsidRDefault="007D7AFA" w:rsidP="00E8247A">
      <w:pPr>
        <w:numPr>
          <w:ilvl w:val="0"/>
          <w:numId w:val="47"/>
        </w:numPr>
        <w:jc w:val="both"/>
        <w:rPr>
          <w:rFonts w:ascii="Times New Roman" w:hAnsi="Times New Roman"/>
          <w:sz w:val="26"/>
          <w:szCs w:val="26"/>
        </w:rPr>
      </w:pPr>
      <w:r w:rsidRPr="002156F2">
        <w:rPr>
          <w:rFonts w:ascii="Times New Roman" w:hAnsi="Times New Roman"/>
          <w:sz w:val="26"/>
          <w:szCs w:val="26"/>
        </w:rPr>
        <w:t>От съществено значение е спазването на регламентираните срокове за оценка на проектните предложения и обявяване на класираните проекти;</w:t>
      </w:r>
    </w:p>
    <w:p w:rsidR="007D7AFA" w:rsidRDefault="007D7AFA" w:rsidP="00E8247A">
      <w:pPr>
        <w:numPr>
          <w:ilvl w:val="0"/>
          <w:numId w:val="47"/>
        </w:numPr>
        <w:jc w:val="both"/>
        <w:rPr>
          <w:rFonts w:ascii="Times New Roman" w:hAnsi="Times New Roman"/>
          <w:sz w:val="26"/>
          <w:szCs w:val="26"/>
        </w:rPr>
      </w:pPr>
      <w:r w:rsidRPr="002156F2">
        <w:rPr>
          <w:rFonts w:ascii="Times New Roman" w:hAnsi="Times New Roman"/>
          <w:sz w:val="26"/>
          <w:szCs w:val="26"/>
        </w:rPr>
        <w:t>Препоръчително е потенциалните бенефициенти да бъдат запознати още на фазата на подготовка на проектните предложения с механизмите за изпълнение и отчитане впоследствие. Това е предпоставка за по-добро качество на проектите, както и за по-доброто им управление при евентуално одобрение</w:t>
      </w:r>
      <w:r>
        <w:rPr>
          <w:rFonts w:ascii="Times New Roman" w:hAnsi="Times New Roman"/>
          <w:sz w:val="26"/>
          <w:szCs w:val="26"/>
        </w:rPr>
        <w:t>;</w:t>
      </w:r>
    </w:p>
    <w:p w:rsidR="007D7AFA" w:rsidRDefault="007D7AFA" w:rsidP="00E8247A">
      <w:pPr>
        <w:numPr>
          <w:ilvl w:val="0"/>
          <w:numId w:val="47"/>
        </w:numPr>
        <w:jc w:val="both"/>
        <w:rPr>
          <w:rFonts w:ascii="Times New Roman" w:hAnsi="Times New Roman"/>
          <w:sz w:val="26"/>
          <w:szCs w:val="26"/>
        </w:rPr>
      </w:pPr>
      <w:r>
        <w:rPr>
          <w:rFonts w:ascii="Times New Roman" w:hAnsi="Times New Roman"/>
          <w:sz w:val="26"/>
          <w:szCs w:val="26"/>
        </w:rPr>
        <w:t xml:space="preserve">Подготовка на платформа за </w:t>
      </w:r>
      <w:r>
        <w:rPr>
          <w:rFonts w:ascii="Times New Roman" w:hAnsi="Times New Roman"/>
          <w:sz w:val="26"/>
          <w:szCs w:val="26"/>
          <w:lang w:val="en-US"/>
        </w:rPr>
        <w:t>on-line</w:t>
      </w:r>
      <w:r>
        <w:rPr>
          <w:rFonts w:ascii="Times New Roman" w:hAnsi="Times New Roman"/>
          <w:sz w:val="26"/>
          <w:szCs w:val="26"/>
        </w:rPr>
        <w:t xml:space="preserve"> кандидатстване с цел автоматично отстраняване на пропуски и проверка от страна на бенефициента;</w:t>
      </w:r>
    </w:p>
    <w:p w:rsidR="007D7AFA" w:rsidRDefault="007D7AFA" w:rsidP="00E8247A">
      <w:pPr>
        <w:numPr>
          <w:ilvl w:val="0"/>
          <w:numId w:val="47"/>
        </w:numPr>
        <w:jc w:val="both"/>
        <w:rPr>
          <w:rFonts w:ascii="Times New Roman" w:hAnsi="Times New Roman"/>
          <w:sz w:val="26"/>
          <w:szCs w:val="26"/>
        </w:rPr>
      </w:pPr>
      <w:r>
        <w:rPr>
          <w:rFonts w:ascii="Times New Roman" w:hAnsi="Times New Roman"/>
          <w:sz w:val="26"/>
          <w:szCs w:val="26"/>
        </w:rPr>
        <w:t>ОСигуряване на възможности за отстраняване на пропуски и/или липсващи документи в срок от 3 дни след уведомяване;</w:t>
      </w:r>
    </w:p>
    <w:p w:rsidR="007D7AFA" w:rsidRPr="002156F2" w:rsidRDefault="007D7AFA" w:rsidP="00E8247A">
      <w:pPr>
        <w:numPr>
          <w:ilvl w:val="0"/>
          <w:numId w:val="47"/>
        </w:numPr>
        <w:jc w:val="both"/>
        <w:rPr>
          <w:rFonts w:ascii="Times New Roman" w:hAnsi="Times New Roman"/>
          <w:sz w:val="26"/>
          <w:szCs w:val="26"/>
        </w:rPr>
      </w:pPr>
      <w:r>
        <w:rPr>
          <w:rFonts w:ascii="Times New Roman" w:hAnsi="Times New Roman"/>
          <w:sz w:val="26"/>
          <w:szCs w:val="26"/>
        </w:rPr>
        <w:t>Нужда от обучение на бенефициентите чрез използване на финансовия ресурс на ОП „Техническа помощ”.</w:t>
      </w:r>
    </w:p>
    <w:p w:rsidR="007D7AFA" w:rsidRPr="00593ABC" w:rsidRDefault="007D7AFA" w:rsidP="00E8247A">
      <w:pPr>
        <w:jc w:val="both"/>
        <w:rPr>
          <w:rFonts w:ascii="Times New Roman" w:hAnsi="Times New Roman"/>
          <w:sz w:val="24"/>
          <w:szCs w:val="24"/>
        </w:rPr>
      </w:pPr>
    </w:p>
    <w:p w:rsidR="007D7AFA" w:rsidRPr="002156F2" w:rsidRDefault="007D7AFA" w:rsidP="002156F2">
      <w:pPr>
        <w:numPr>
          <w:ilvl w:val="1"/>
          <w:numId w:val="40"/>
        </w:numPr>
        <w:ind w:left="567" w:hanging="567"/>
        <w:jc w:val="both"/>
        <w:rPr>
          <w:rFonts w:ascii="Times New Roman" w:hAnsi="Times New Roman"/>
          <w:sz w:val="26"/>
          <w:szCs w:val="26"/>
        </w:rPr>
      </w:pPr>
      <w:r w:rsidRPr="002156F2">
        <w:rPr>
          <w:rFonts w:ascii="Times New Roman" w:hAnsi="Times New Roman"/>
          <w:sz w:val="26"/>
          <w:szCs w:val="26"/>
        </w:rPr>
        <w:t>Етап Изпълнение и отчитане на проекта:</w:t>
      </w:r>
    </w:p>
    <w:p w:rsidR="007D7AFA" w:rsidRPr="002156F2" w:rsidRDefault="007D7AFA" w:rsidP="00E8247A">
      <w:pPr>
        <w:numPr>
          <w:ilvl w:val="0"/>
          <w:numId w:val="48"/>
        </w:numPr>
        <w:jc w:val="both"/>
        <w:rPr>
          <w:rFonts w:ascii="Times New Roman" w:hAnsi="Times New Roman"/>
          <w:sz w:val="26"/>
          <w:szCs w:val="26"/>
        </w:rPr>
      </w:pPr>
      <w:r w:rsidRPr="002156F2">
        <w:rPr>
          <w:rFonts w:ascii="Times New Roman" w:hAnsi="Times New Roman"/>
          <w:sz w:val="26"/>
          <w:szCs w:val="26"/>
        </w:rPr>
        <w:t>Да се опростят административните процедури с оглед ефикасност и ефективност;</w:t>
      </w:r>
    </w:p>
    <w:p w:rsidR="007D7AFA" w:rsidRPr="002156F2" w:rsidRDefault="007D7AFA" w:rsidP="00E8247A">
      <w:pPr>
        <w:numPr>
          <w:ilvl w:val="0"/>
          <w:numId w:val="48"/>
        </w:numPr>
        <w:jc w:val="both"/>
        <w:rPr>
          <w:rFonts w:ascii="Times New Roman" w:hAnsi="Times New Roman"/>
          <w:sz w:val="26"/>
          <w:szCs w:val="26"/>
        </w:rPr>
      </w:pPr>
      <w:r w:rsidRPr="002156F2">
        <w:rPr>
          <w:rFonts w:ascii="Times New Roman" w:hAnsi="Times New Roman"/>
          <w:sz w:val="26"/>
          <w:szCs w:val="26"/>
        </w:rPr>
        <w:t>Да се регламентират наръчници (ръководства) за изпълнение – например как се подготвят, провеждат и отчитат тръжни процедури, вкл. с албум на съпътстващите документи; типови проектодоговори за доставка на съоръжения, машини, услуги и т.н., вкл. на английски език;</w:t>
      </w:r>
    </w:p>
    <w:p w:rsidR="007D7AFA" w:rsidRPr="002156F2" w:rsidRDefault="007D7AFA" w:rsidP="00E8247A">
      <w:pPr>
        <w:numPr>
          <w:ilvl w:val="0"/>
          <w:numId w:val="48"/>
        </w:numPr>
        <w:jc w:val="both"/>
        <w:rPr>
          <w:rFonts w:ascii="Times New Roman" w:hAnsi="Times New Roman"/>
          <w:sz w:val="26"/>
          <w:szCs w:val="26"/>
        </w:rPr>
      </w:pPr>
      <w:r w:rsidRPr="002156F2">
        <w:rPr>
          <w:rFonts w:ascii="Times New Roman" w:hAnsi="Times New Roman"/>
          <w:sz w:val="26"/>
          <w:szCs w:val="26"/>
        </w:rPr>
        <w:t>Да не се гледа на бенефициента като на престъпник по презумпция, а като на партньор, изпълняващ проект, който следва да бъде активно подпомаган и насърчаван, а не обезкуражаван с ненужни и формални искания за информация, документи и т.н.;</w:t>
      </w:r>
    </w:p>
    <w:p w:rsidR="007D7AFA" w:rsidRDefault="007D7AFA" w:rsidP="00E8247A">
      <w:pPr>
        <w:numPr>
          <w:ilvl w:val="0"/>
          <w:numId w:val="48"/>
        </w:numPr>
        <w:jc w:val="both"/>
        <w:rPr>
          <w:rFonts w:ascii="Times New Roman" w:hAnsi="Times New Roman"/>
          <w:sz w:val="26"/>
          <w:szCs w:val="26"/>
        </w:rPr>
      </w:pPr>
      <w:r w:rsidRPr="002156F2">
        <w:rPr>
          <w:rFonts w:ascii="Times New Roman" w:hAnsi="Times New Roman"/>
          <w:sz w:val="26"/>
          <w:szCs w:val="26"/>
        </w:rPr>
        <w:t>Да се преосмислят исканите към момента формални документи от доставчиците на бенефициентите – напр. искат се декларации от всички членове на управителни и надзорни органи на участващите в тръжни процедури кандидат-доставчици, от чуждестранните участници се искат документите за първоначална регистрация и за актуално състояние с апостилни печати, както и с последващ официален превод от заклети преводачи, което да представлява окончателен легализиран превод съгласно нормативните процедури; впоследствие от утвърдените доставчици се искат свидетелства за съдимост за всички представляващи съответното дружество и т.н. Впрочем, отчитайки разнородните практики в различните страни, съществуващият у нас регламент изисква документи, събирането на които значително забавя и усложнява изпълнението на проектите без да има съществено значение за успеваемостта им</w:t>
      </w:r>
      <w:r w:rsidRPr="002156F2">
        <w:rPr>
          <w:rStyle w:val="FootnoteReference"/>
          <w:rFonts w:ascii="Times New Roman" w:hAnsi="Times New Roman"/>
          <w:sz w:val="26"/>
          <w:szCs w:val="26"/>
        </w:rPr>
        <w:footnoteReference w:id="7"/>
      </w:r>
      <w:r w:rsidRPr="002156F2">
        <w:rPr>
          <w:rFonts w:ascii="Times New Roman" w:hAnsi="Times New Roman"/>
          <w:sz w:val="26"/>
          <w:szCs w:val="26"/>
        </w:rPr>
        <w:t>;</w:t>
      </w:r>
    </w:p>
    <w:p w:rsidR="007D7AFA" w:rsidRPr="002156F2" w:rsidRDefault="007D7AFA" w:rsidP="00E8247A">
      <w:pPr>
        <w:numPr>
          <w:ilvl w:val="0"/>
          <w:numId w:val="48"/>
        </w:numPr>
        <w:jc w:val="both"/>
        <w:rPr>
          <w:rFonts w:ascii="Times New Roman" w:hAnsi="Times New Roman"/>
          <w:sz w:val="26"/>
          <w:szCs w:val="26"/>
        </w:rPr>
      </w:pPr>
      <w:r>
        <w:rPr>
          <w:rFonts w:ascii="Times New Roman" w:hAnsi="Times New Roman"/>
          <w:sz w:val="26"/>
          <w:szCs w:val="26"/>
        </w:rPr>
        <w:t xml:space="preserve">Ускоряване на </w:t>
      </w:r>
      <w:r>
        <w:rPr>
          <w:rFonts w:ascii="Times New Roman" w:hAnsi="Times New Roman"/>
          <w:sz w:val="26"/>
          <w:szCs w:val="26"/>
          <w:lang w:val="en-US"/>
        </w:rPr>
        <w:t>JEREMIE</w:t>
      </w:r>
      <w:r>
        <w:rPr>
          <w:rFonts w:ascii="Times New Roman" w:hAnsi="Times New Roman"/>
          <w:sz w:val="26"/>
          <w:szCs w:val="26"/>
        </w:rPr>
        <w:t xml:space="preserve"> за улесняване на достъпа до финансиране – рискови фондове, гаранционни фондове, фондове за микрокредитиране;</w:t>
      </w:r>
    </w:p>
    <w:p w:rsidR="007D7AFA" w:rsidRPr="002156F2" w:rsidRDefault="007D7AFA" w:rsidP="00E8247A">
      <w:pPr>
        <w:numPr>
          <w:ilvl w:val="0"/>
          <w:numId w:val="48"/>
        </w:numPr>
        <w:jc w:val="both"/>
        <w:rPr>
          <w:rFonts w:ascii="Times New Roman" w:hAnsi="Times New Roman"/>
          <w:sz w:val="26"/>
          <w:szCs w:val="26"/>
        </w:rPr>
      </w:pPr>
      <w:r w:rsidRPr="002156F2">
        <w:rPr>
          <w:rFonts w:ascii="Times New Roman" w:hAnsi="Times New Roman"/>
          <w:sz w:val="26"/>
          <w:szCs w:val="26"/>
        </w:rPr>
        <w:t>При тръжната фаза изключително формално се гледа на съответствието между изисквания на бенефициента и техническа оферта на кандидат-доставчика – например искания за обяснения относно терминология, наименования (още по-фрапиращи са искания когато се прави съотнасяне с наименования в първоначално разписания от бенефициента бюджет при очевидно тъждествени по смисъл позиции), функционални параметри (например оферират се по-добри параметри, което е очевидно в интерес на бенефициента, а се искат същевременно обяснения от него за това, понякога и без да се следи вече одобрена методика за оценка);</w:t>
      </w:r>
    </w:p>
    <w:p w:rsidR="007D7AFA" w:rsidRPr="002156F2" w:rsidRDefault="007D7AFA" w:rsidP="00E8247A">
      <w:pPr>
        <w:numPr>
          <w:ilvl w:val="0"/>
          <w:numId w:val="48"/>
        </w:numPr>
        <w:jc w:val="both"/>
        <w:rPr>
          <w:rFonts w:ascii="Times New Roman" w:hAnsi="Times New Roman"/>
          <w:sz w:val="26"/>
          <w:szCs w:val="26"/>
        </w:rPr>
      </w:pPr>
      <w:r w:rsidRPr="002156F2">
        <w:rPr>
          <w:rFonts w:ascii="Times New Roman" w:hAnsi="Times New Roman"/>
          <w:color w:val="333333"/>
          <w:sz w:val="26"/>
          <w:szCs w:val="26"/>
        </w:rPr>
        <w:t>Проблеми, свързани със субективното отношение на експерти от МЗ при прегледа на документи по даден проект. В едни случаи документ се признава за редовен, в други за същия документ се изискват допълнителни разяснения и материали;</w:t>
      </w:r>
    </w:p>
    <w:p w:rsidR="007D7AFA" w:rsidRPr="002156F2" w:rsidRDefault="007D7AFA" w:rsidP="00E8247A">
      <w:pPr>
        <w:numPr>
          <w:ilvl w:val="0"/>
          <w:numId w:val="48"/>
        </w:numPr>
        <w:jc w:val="both"/>
        <w:rPr>
          <w:rFonts w:ascii="Times New Roman" w:hAnsi="Times New Roman"/>
          <w:sz w:val="26"/>
          <w:szCs w:val="26"/>
        </w:rPr>
      </w:pPr>
      <w:r w:rsidRPr="002156F2">
        <w:rPr>
          <w:rFonts w:ascii="Times New Roman" w:hAnsi="Times New Roman"/>
          <w:color w:val="333333"/>
          <w:sz w:val="26"/>
          <w:szCs w:val="26"/>
        </w:rPr>
        <w:t>Удачно е да се правят периодични вътрешни обучения в МЗ съвместно с УО за да се координират практики;</w:t>
      </w:r>
    </w:p>
    <w:p w:rsidR="007D7AFA" w:rsidRPr="002156F2" w:rsidRDefault="007D7AFA" w:rsidP="00E8247A">
      <w:pPr>
        <w:numPr>
          <w:ilvl w:val="0"/>
          <w:numId w:val="48"/>
        </w:numPr>
        <w:jc w:val="both"/>
        <w:rPr>
          <w:rFonts w:ascii="Times New Roman" w:hAnsi="Times New Roman"/>
          <w:sz w:val="26"/>
          <w:szCs w:val="26"/>
        </w:rPr>
      </w:pPr>
      <w:r w:rsidRPr="002156F2">
        <w:rPr>
          <w:rFonts w:ascii="Times New Roman" w:hAnsi="Times New Roman"/>
          <w:color w:val="333333"/>
          <w:sz w:val="26"/>
          <w:szCs w:val="26"/>
        </w:rPr>
        <w:t>Важно е да се постигне заменяемост на експертно ниво. В момента съществува риск ако по някаква причина даден експерт отсъства, времето на неговото отстътствие директно да се отрази като просрочие в работата по изпълнение на проекта от страна на бенефициента;</w:t>
      </w:r>
    </w:p>
    <w:p w:rsidR="007D7AFA" w:rsidRPr="002156F2" w:rsidRDefault="007D7AFA" w:rsidP="00E8247A">
      <w:pPr>
        <w:numPr>
          <w:ilvl w:val="0"/>
          <w:numId w:val="48"/>
        </w:numPr>
        <w:jc w:val="both"/>
        <w:rPr>
          <w:rFonts w:ascii="Times New Roman" w:hAnsi="Times New Roman"/>
          <w:sz w:val="26"/>
          <w:szCs w:val="26"/>
        </w:rPr>
      </w:pPr>
      <w:r w:rsidRPr="002156F2">
        <w:rPr>
          <w:rFonts w:ascii="Times New Roman" w:hAnsi="Times New Roman"/>
          <w:color w:val="333333"/>
          <w:sz w:val="26"/>
          <w:szCs w:val="26"/>
        </w:rPr>
        <w:t>Да се регламентира и опрости в максимална степен комуникацията между бенефициент и МЗ с оглед ускорени процедури по потвърждаване на действия в хода на проектното изпълнение и отчитане;</w:t>
      </w:r>
    </w:p>
    <w:p w:rsidR="007D7AFA" w:rsidRPr="002156F2" w:rsidRDefault="007D7AFA" w:rsidP="00E8247A">
      <w:pPr>
        <w:numPr>
          <w:ilvl w:val="0"/>
          <w:numId w:val="48"/>
        </w:numPr>
        <w:jc w:val="both"/>
        <w:rPr>
          <w:rFonts w:ascii="Times New Roman" w:hAnsi="Times New Roman"/>
          <w:sz w:val="26"/>
          <w:szCs w:val="26"/>
        </w:rPr>
      </w:pPr>
      <w:r w:rsidRPr="002156F2">
        <w:rPr>
          <w:rFonts w:ascii="Times New Roman" w:hAnsi="Times New Roman"/>
          <w:color w:val="333333"/>
          <w:sz w:val="26"/>
          <w:szCs w:val="26"/>
        </w:rPr>
        <w:t>Установяваме проблеми, свързани с издължаване на междинните и балансовите плащания – при приключил и отчетен етап/проект и подадени документи за междинно или балансово плащане, се бавят преводите – нерядко закъснението е значително</w:t>
      </w:r>
      <w:r>
        <w:rPr>
          <w:rFonts w:ascii="Times New Roman" w:hAnsi="Times New Roman"/>
          <w:color w:val="333333"/>
          <w:sz w:val="26"/>
          <w:szCs w:val="26"/>
        </w:rPr>
        <w:t>.</w:t>
      </w:r>
    </w:p>
    <w:p w:rsidR="007D7AFA" w:rsidRPr="004161E4" w:rsidRDefault="007D7AFA" w:rsidP="00E8247A">
      <w:pPr>
        <w:jc w:val="both"/>
        <w:rPr>
          <w:rFonts w:ascii="Times New Roman" w:hAnsi="Times New Roman"/>
          <w:sz w:val="24"/>
          <w:szCs w:val="24"/>
        </w:rPr>
      </w:pPr>
    </w:p>
    <w:p w:rsidR="007D7AFA" w:rsidRDefault="007D7AFA" w:rsidP="00E8247A">
      <w:pPr>
        <w:ind w:left="720"/>
        <w:jc w:val="both"/>
        <w:rPr>
          <w:rFonts w:ascii="Times New Roman" w:hAnsi="Times New Roman"/>
          <w:b/>
          <w:bCs/>
          <w:sz w:val="26"/>
          <w:szCs w:val="26"/>
          <w:u w:val="single"/>
        </w:rPr>
      </w:pPr>
    </w:p>
    <w:p w:rsidR="007D7AFA" w:rsidRDefault="007D7AFA" w:rsidP="00E8247A">
      <w:pPr>
        <w:numPr>
          <w:ilvl w:val="0"/>
          <w:numId w:val="40"/>
        </w:numPr>
        <w:jc w:val="both"/>
        <w:rPr>
          <w:rFonts w:ascii="Times New Roman" w:hAnsi="Times New Roman"/>
          <w:b/>
          <w:bCs/>
          <w:sz w:val="26"/>
          <w:szCs w:val="26"/>
          <w:u w:val="single"/>
        </w:rPr>
      </w:pPr>
      <w:r w:rsidRPr="00662A4E">
        <w:rPr>
          <w:rFonts w:ascii="Times New Roman" w:hAnsi="Times New Roman"/>
          <w:b/>
          <w:bCs/>
          <w:sz w:val="26"/>
          <w:szCs w:val="26"/>
          <w:u w:val="single"/>
        </w:rPr>
        <w:t xml:space="preserve">ОПЕРАТИВНА ПРОГРАМА РАЗВИТИЕ НА </w:t>
      </w:r>
      <w:r>
        <w:rPr>
          <w:rFonts w:ascii="Times New Roman" w:hAnsi="Times New Roman"/>
          <w:b/>
          <w:bCs/>
          <w:sz w:val="26"/>
          <w:szCs w:val="26"/>
          <w:u w:val="single"/>
        </w:rPr>
        <w:t>СЕЛСКИТЕ РАЙОНИ</w:t>
      </w:r>
    </w:p>
    <w:p w:rsidR="007D7AFA" w:rsidRDefault="007D7AFA" w:rsidP="002156F2">
      <w:pPr>
        <w:tabs>
          <w:tab w:val="left" w:pos="426"/>
        </w:tabs>
        <w:ind w:firstLine="720"/>
        <w:jc w:val="both"/>
        <w:rPr>
          <w:rFonts w:ascii="Times New Roman" w:hAnsi="Times New Roman"/>
          <w:sz w:val="26"/>
          <w:szCs w:val="26"/>
        </w:rPr>
      </w:pPr>
    </w:p>
    <w:p w:rsidR="007D7AFA" w:rsidRPr="002156F2" w:rsidRDefault="007D7AFA" w:rsidP="002156F2">
      <w:pPr>
        <w:tabs>
          <w:tab w:val="left" w:pos="426"/>
        </w:tabs>
        <w:ind w:firstLine="720"/>
        <w:jc w:val="both"/>
        <w:rPr>
          <w:rFonts w:ascii="Times New Roman" w:hAnsi="Times New Roman"/>
          <w:b/>
          <w:sz w:val="26"/>
          <w:szCs w:val="26"/>
          <w:lang w:val="ru-RU"/>
        </w:rPr>
      </w:pPr>
      <w:r>
        <w:rPr>
          <w:rFonts w:ascii="Times New Roman" w:hAnsi="Times New Roman"/>
          <w:sz w:val="26"/>
          <w:szCs w:val="26"/>
        </w:rPr>
        <w:t>Селскостопанският</w:t>
      </w:r>
      <w:r w:rsidRPr="002156F2">
        <w:rPr>
          <w:rFonts w:ascii="Times New Roman" w:hAnsi="Times New Roman"/>
          <w:sz w:val="26"/>
          <w:szCs w:val="26"/>
        </w:rPr>
        <w:t xml:space="preserve"> сектор на България се характеризира с множество стопанства, които са малки по размери и в голяма си част не отговарят на изискванията на ЕС. От миналата година поради неадекватните действия на бившсто правителство млечният сектор изпадна в криза, която принуждава голяма част от фермите да се борят за оцеляване.</w:t>
      </w:r>
    </w:p>
    <w:p w:rsidR="007D7AFA" w:rsidRPr="002156F2" w:rsidRDefault="007D7AFA" w:rsidP="002156F2">
      <w:pPr>
        <w:ind w:firstLine="709"/>
        <w:jc w:val="both"/>
        <w:rPr>
          <w:rFonts w:ascii="Times New Roman" w:hAnsi="Times New Roman"/>
          <w:sz w:val="26"/>
          <w:szCs w:val="26"/>
        </w:rPr>
      </w:pPr>
      <w:r>
        <w:rPr>
          <w:rFonts w:ascii="Times New Roman" w:hAnsi="Times New Roman"/>
          <w:sz w:val="26"/>
          <w:szCs w:val="26"/>
          <w:lang w:val="ru-RU"/>
        </w:rPr>
        <w:t>Т</w:t>
      </w:r>
      <w:r w:rsidRPr="002156F2">
        <w:rPr>
          <w:rFonts w:ascii="Times New Roman" w:hAnsi="Times New Roman"/>
          <w:sz w:val="26"/>
          <w:szCs w:val="26"/>
          <w:lang w:val="ru-RU"/>
        </w:rPr>
        <w:t xml:space="preserve">ежкото положение на </w:t>
      </w:r>
      <w:r>
        <w:rPr>
          <w:rFonts w:ascii="Times New Roman" w:hAnsi="Times New Roman"/>
          <w:sz w:val="26"/>
          <w:szCs w:val="26"/>
          <w:lang w:val="ru-RU"/>
        </w:rPr>
        <w:t>селскостопанския</w:t>
      </w:r>
      <w:r w:rsidRPr="002156F2">
        <w:rPr>
          <w:rFonts w:ascii="Times New Roman" w:hAnsi="Times New Roman"/>
          <w:sz w:val="26"/>
          <w:szCs w:val="26"/>
          <w:lang w:val="ru-RU"/>
        </w:rPr>
        <w:t xml:space="preserve"> сектор в България и влиянието на икономическата криза </w:t>
      </w:r>
      <w:r>
        <w:rPr>
          <w:rFonts w:ascii="Times New Roman" w:hAnsi="Times New Roman"/>
          <w:sz w:val="26"/>
          <w:szCs w:val="26"/>
          <w:lang w:val="ru-RU"/>
        </w:rPr>
        <w:t xml:space="preserve">налагат нови предизвикателства пред селскостопанските производители, които могат да бъдат преодолени при адекватно прилагане на ОСП. </w:t>
      </w:r>
      <w:r w:rsidRPr="002156F2">
        <w:rPr>
          <w:rFonts w:ascii="Times New Roman" w:hAnsi="Times New Roman"/>
          <w:sz w:val="26"/>
          <w:szCs w:val="26"/>
          <w:lang w:val="ru-RU"/>
        </w:rPr>
        <w:t xml:space="preserve"> </w:t>
      </w:r>
    </w:p>
    <w:p w:rsidR="007D7AFA" w:rsidRPr="002156F2" w:rsidRDefault="007D7AFA" w:rsidP="002156F2">
      <w:pPr>
        <w:ind w:firstLine="709"/>
        <w:jc w:val="both"/>
        <w:rPr>
          <w:rFonts w:ascii="Times New Roman" w:hAnsi="Times New Roman"/>
          <w:sz w:val="26"/>
          <w:szCs w:val="26"/>
          <w:lang w:val="ru-RU"/>
        </w:rPr>
      </w:pPr>
      <w:r w:rsidRPr="002156F2">
        <w:rPr>
          <w:rFonts w:ascii="Times New Roman" w:hAnsi="Times New Roman"/>
          <w:sz w:val="26"/>
          <w:szCs w:val="26"/>
          <w:lang w:val="ru-RU"/>
        </w:rPr>
        <w:t xml:space="preserve">В периода 2007-2013 г. Общият бюджет на ЕС-27 за 1-ви стълб на ОСП (единно плащане на площ ЕПП) и за 2-ри стълб (средства за развитие на селските райони) възлиза на 375 милиарда евро. От тези средства 80% са разпределени за ЕС-15, а останалите 20% за новите дванадесет страни-членки. Освен това има огромно разминаване по начина, по който са разпределени средствата между 1-ви и 2-ри стълб на ОСП. Например в старите-страни членки (ЕС-15) 80% от субсидиите се изразходват за 1–ви стълб (единно плащане на площ ЕПП), а в новите страни-членки само 50% от субсидиите се изразходват за 1–ви стълб. Освен това съществуват различия между разпределението на субсидиите по 1-ви и 2-ри стълб и в старите страни-членки. В Португалия, Австрия, Финландия, Люксембург, Швеция от 50% до 75% от парите отиват за единно пращане на площ и съответно от 25% до 50% за развитие на селските райони. В страни като Франция, Белгия, Холандия, Англия, Дания дялът на средствата, които се изразходват за единно плащане на площ възлизат на 90%-95%, а за развитие на селските райони остават едва 5% до 10%. В новите 12 страни-членки средствата между 1-ви и 2-ри стълб са разпределени в съотношение 50/50, т.е. </w:t>
      </w:r>
      <w:r>
        <w:rPr>
          <w:rFonts w:ascii="Times New Roman" w:hAnsi="Times New Roman"/>
          <w:sz w:val="26"/>
          <w:szCs w:val="26"/>
          <w:lang w:val="ru-RU"/>
        </w:rPr>
        <w:t xml:space="preserve">България, както и останалите нови страни-членки, </w:t>
      </w:r>
      <w:r w:rsidRPr="002156F2">
        <w:rPr>
          <w:rFonts w:ascii="Times New Roman" w:hAnsi="Times New Roman"/>
          <w:sz w:val="26"/>
          <w:szCs w:val="26"/>
          <w:lang w:val="ru-RU"/>
        </w:rPr>
        <w:t>е ориентиран</w:t>
      </w:r>
      <w:r>
        <w:rPr>
          <w:rFonts w:ascii="Times New Roman" w:hAnsi="Times New Roman"/>
          <w:sz w:val="26"/>
          <w:szCs w:val="26"/>
          <w:lang w:val="ru-RU"/>
        </w:rPr>
        <w:t>а</w:t>
      </w:r>
      <w:r w:rsidRPr="002156F2">
        <w:rPr>
          <w:rFonts w:ascii="Times New Roman" w:hAnsi="Times New Roman"/>
          <w:sz w:val="26"/>
          <w:szCs w:val="26"/>
          <w:lang w:val="ru-RU"/>
        </w:rPr>
        <w:t xml:space="preserve"> към 2-ри стълб на ОСП. </w:t>
      </w:r>
    </w:p>
    <w:p w:rsidR="007D7AFA" w:rsidRPr="002156F2" w:rsidRDefault="007D7AFA" w:rsidP="002156F2">
      <w:pPr>
        <w:ind w:firstLine="709"/>
        <w:jc w:val="both"/>
        <w:rPr>
          <w:rFonts w:ascii="Times New Roman" w:hAnsi="Times New Roman"/>
          <w:sz w:val="26"/>
          <w:szCs w:val="26"/>
        </w:rPr>
      </w:pPr>
      <w:r>
        <w:rPr>
          <w:rFonts w:ascii="Times New Roman" w:hAnsi="Times New Roman"/>
          <w:sz w:val="26"/>
          <w:szCs w:val="26"/>
        </w:rPr>
        <w:t>Селскостопанският</w:t>
      </w:r>
      <w:r w:rsidRPr="002156F2">
        <w:rPr>
          <w:rFonts w:ascii="Times New Roman" w:hAnsi="Times New Roman"/>
          <w:sz w:val="26"/>
          <w:szCs w:val="26"/>
        </w:rPr>
        <w:t xml:space="preserve"> сектор в България, Румъния, Полша е фрагментиран, в резултат на което той не може да постигне висока производителност, нито стандартите на ЕС. Излиза така, че с едни и същи мерки се подпомагат различни по развитие сектори в новоприетите и в старите страни членки. В резултат на това осем пъти е по-малка ефективността на  получаваните помощи по ОСП за България.</w:t>
      </w:r>
    </w:p>
    <w:p w:rsidR="007D7AFA" w:rsidRDefault="007D7AFA" w:rsidP="002156F2">
      <w:pPr>
        <w:ind w:firstLine="709"/>
        <w:jc w:val="both"/>
        <w:rPr>
          <w:rFonts w:ascii="Times New Roman" w:hAnsi="Times New Roman"/>
          <w:sz w:val="26"/>
          <w:szCs w:val="26"/>
          <w:lang w:val="ru-RU"/>
        </w:rPr>
      </w:pPr>
    </w:p>
    <w:p w:rsidR="007D7AFA" w:rsidRPr="002156F2" w:rsidRDefault="007D7AFA" w:rsidP="002156F2">
      <w:pPr>
        <w:ind w:firstLine="709"/>
        <w:jc w:val="both"/>
        <w:rPr>
          <w:rFonts w:ascii="Times New Roman" w:hAnsi="Times New Roman"/>
          <w:b/>
          <w:sz w:val="26"/>
          <w:szCs w:val="26"/>
        </w:rPr>
      </w:pPr>
      <w:r w:rsidRPr="002156F2">
        <w:rPr>
          <w:rFonts w:ascii="Times New Roman" w:hAnsi="Times New Roman"/>
          <w:sz w:val="26"/>
          <w:szCs w:val="26"/>
          <w:lang w:val="ru-RU"/>
        </w:rPr>
        <w:t xml:space="preserve">Основните изводи от </w:t>
      </w:r>
      <w:r>
        <w:rPr>
          <w:rFonts w:ascii="Times New Roman" w:hAnsi="Times New Roman"/>
          <w:sz w:val="26"/>
          <w:szCs w:val="26"/>
          <w:lang w:val="ru-RU"/>
        </w:rPr>
        <w:t>казаното до момента</w:t>
      </w:r>
      <w:r w:rsidRPr="002156F2">
        <w:rPr>
          <w:rFonts w:ascii="Times New Roman" w:hAnsi="Times New Roman"/>
          <w:sz w:val="26"/>
          <w:szCs w:val="26"/>
          <w:lang w:val="ru-RU"/>
        </w:rPr>
        <w:t>, са:</w:t>
      </w:r>
      <w:r w:rsidRPr="002156F2">
        <w:rPr>
          <w:rFonts w:ascii="Times New Roman" w:hAnsi="Times New Roman"/>
          <w:b/>
          <w:sz w:val="26"/>
          <w:szCs w:val="26"/>
        </w:rPr>
        <w:t xml:space="preserve">  </w:t>
      </w:r>
    </w:p>
    <w:p w:rsidR="007D7AFA" w:rsidRPr="002156F2" w:rsidRDefault="007D7AFA" w:rsidP="002156F2">
      <w:pPr>
        <w:numPr>
          <w:ilvl w:val="0"/>
          <w:numId w:val="49"/>
        </w:numPr>
        <w:ind w:hanging="294"/>
        <w:jc w:val="both"/>
        <w:rPr>
          <w:rFonts w:ascii="Times New Roman" w:hAnsi="Times New Roman"/>
          <w:sz w:val="26"/>
          <w:szCs w:val="26"/>
          <w:lang w:val="ru-RU"/>
        </w:rPr>
      </w:pPr>
      <w:r w:rsidRPr="002156F2">
        <w:rPr>
          <w:rFonts w:ascii="Times New Roman" w:hAnsi="Times New Roman"/>
          <w:sz w:val="26"/>
          <w:szCs w:val="26"/>
          <w:lang w:val="ru-RU"/>
        </w:rPr>
        <w:t xml:space="preserve">Съществуващата явна неравнопоставеност между новите и старите страни членки. При старите страни-членки по-голяма част от средствата са насочени към 1-ви стълб (единно плащане на площ ЕПП). При новите страни тежестта пада върху 2-рия стълб (средства за развитие на селските райони) за сметка на единното плащане на площ. Това създава напрежение в българския </w:t>
      </w:r>
      <w:r>
        <w:rPr>
          <w:rFonts w:ascii="Times New Roman" w:hAnsi="Times New Roman"/>
          <w:sz w:val="26"/>
          <w:szCs w:val="26"/>
          <w:lang w:val="ru-RU"/>
        </w:rPr>
        <w:t>селскостопански</w:t>
      </w:r>
      <w:r w:rsidRPr="002156F2">
        <w:rPr>
          <w:rFonts w:ascii="Times New Roman" w:hAnsi="Times New Roman"/>
          <w:sz w:val="26"/>
          <w:szCs w:val="26"/>
          <w:lang w:val="ru-RU"/>
        </w:rPr>
        <w:t xml:space="preserve"> сектор;</w:t>
      </w:r>
    </w:p>
    <w:p w:rsidR="007D7AFA" w:rsidRPr="002156F2" w:rsidRDefault="007D7AFA" w:rsidP="002156F2">
      <w:pPr>
        <w:numPr>
          <w:ilvl w:val="0"/>
          <w:numId w:val="49"/>
        </w:numPr>
        <w:ind w:hanging="294"/>
        <w:jc w:val="both"/>
        <w:rPr>
          <w:rFonts w:ascii="Times New Roman" w:hAnsi="Times New Roman"/>
          <w:sz w:val="26"/>
          <w:szCs w:val="26"/>
          <w:lang w:val="ru-RU"/>
        </w:rPr>
      </w:pPr>
      <w:r w:rsidRPr="002156F2">
        <w:rPr>
          <w:rFonts w:ascii="Times New Roman" w:hAnsi="Times New Roman"/>
          <w:sz w:val="26"/>
          <w:szCs w:val="26"/>
          <w:lang w:val="ru-RU"/>
        </w:rPr>
        <w:t>Н</w:t>
      </w:r>
      <w:r w:rsidRPr="002156F2">
        <w:rPr>
          <w:rFonts w:ascii="Times New Roman" w:hAnsi="Times New Roman"/>
          <w:sz w:val="26"/>
          <w:szCs w:val="26"/>
        </w:rPr>
        <w:t>овоприетите държави, поради ниското ниво на развитие на сектора (разпокъсаност, фрагментарност), нямат капацитет за усвояване на ресурса по</w:t>
      </w:r>
      <w:r w:rsidRPr="002156F2">
        <w:rPr>
          <w:rFonts w:ascii="Times New Roman" w:hAnsi="Times New Roman"/>
          <w:b/>
          <w:sz w:val="26"/>
          <w:szCs w:val="26"/>
        </w:rPr>
        <w:t xml:space="preserve"> </w:t>
      </w:r>
      <w:r w:rsidRPr="002156F2">
        <w:rPr>
          <w:rFonts w:ascii="Times New Roman" w:hAnsi="Times New Roman"/>
          <w:sz w:val="26"/>
          <w:szCs w:val="26"/>
          <w:lang w:val="ru-RU"/>
        </w:rPr>
        <w:t>2-ри стълб (средства за развитие на селските райони)</w:t>
      </w:r>
      <w:r w:rsidRPr="002156F2">
        <w:rPr>
          <w:rFonts w:ascii="Times New Roman" w:hAnsi="Times New Roman"/>
          <w:b/>
          <w:sz w:val="26"/>
          <w:szCs w:val="26"/>
        </w:rPr>
        <w:t xml:space="preserve">.  </w:t>
      </w:r>
      <w:r w:rsidRPr="002156F2">
        <w:rPr>
          <w:rFonts w:ascii="Times New Roman" w:hAnsi="Times New Roman"/>
          <w:sz w:val="26"/>
          <w:szCs w:val="26"/>
        </w:rPr>
        <w:t>В резултат на това  голяма част от пакета остава неусвоен;</w:t>
      </w:r>
    </w:p>
    <w:p w:rsidR="007D7AFA" w:rsidRPr="002156F2" w:rsidRDefault="007D7AFA" w:rsidP="002156F2">
      <w:pPr>
        <w:numPr>
          <w:ilvl w:val="0"/>
          <w:numId w:val="49"/>
        </w:numPr>
        <w:ind w:hanging="294"/>
        <w:jc w:val="both"/>
        <w:rPr>
          <w:rFonts w:ascii="Times New Roman" w:hAnsi="Times New Roman"/>
          <w:sz w:val="26"/>
          <w:szCs w:val="26"/>
          <w:lang w:val="ru-RU"/>
        </w:rPr>
      </w:pPr>
      <w:r w:rsidRPr="002156F2">
        <w:rPr>
          <w:rFonts w:ascii="Times New Roman" w:hAnsi="Times New Roman"/>
          <w:sz w:val="26"/>
          <w:szCs w:val="26"/>
          <w:lang w:val="ru-RU"/>
        </w:rPr>
        <w:t>България и Румъния поради силно раздробеното си животновъдство изпитват допълнителни затруднения в усвояването на средствата от 2-ри стълб на ОСП;</w:t>
      </w:r>
    </w:p>
    <w:p w:rsidR="007D7AFA" w:rsidRPr="002156F2" w:rsidRDefault="007D7AFA" w:rsidP="002156F2">
      <w:pPr>
        <w:numPr>
          <w:ilvl w:val="0"/>
          <w:numId w:val="49"/>
        </w:numPr>
        <w:ind w:hanging="294"/>
        <w:jc w:val="both"/>
        <w:rPr>
          <w:rFonts w:ascii="Times New Roman" w:hAnsi="Times New Roman"/>
          <w:sz w:val="26"/>
          <w:szCs w:val="26"/>
          <w:lang w:val="ru-RU"/>
        </w:rPr>
      </w:pPr>
      <w:r w:rsidRPr="002156F2">
        <w:rPr>
          <w:rFonts w:ascii="Times New Roman" w:hAnsi="Times New Roman"/>
          <w:sz w:val="26"/>
          <w:szCs w:val="26"/>
          <w:lang w:val="ru-RU"/>
        </w:rPr>
        <w:t xml:space="preserve">Икономическата криза сви потреблението в България и още повече утежни ситуацията в и без това трудно оцеляващите </w:t>
      </w:r>
      <w:r>
        <w:rPr>
          <w:rFonts w:ascii="Times New Roman" w:hAnsi="Times New Roman"/>
          <w:sz w:val="26"/>
          <w:szCs w:val="26"/>
          <w:lang w:val="ru-RU"/>
        </w:rPr>
        <w:t>селски стопанства</w:t>
      </w:r>
      <w:r w:rsidRPr="002156F2">
        <w:rPr>
          <w:rFonts w:ascii="Times New Roman" w:hAnsi="Times New Roman"/>
          <w:sz w:val="26"/>
          <w:szCs w:val="26"/>
          <w:lang w:val="ru-RU"/>
        </w:rPr>
        <w:t>.</w:t>
      </w:r>
    </w:p>
    <w:p w:rsidR="007D7AFA" w:rsidRDefault="007D7AFA" w:rsidP="002156F2">
      <w:pPr>
        <w:ind w:firstLine="709"/>
        <w:jc w:val="both"/>
        <w:rPr>
          <w:rFonts w:ascii="Times New Roman" w:hAnsi="Times New Roman"/>
          <w:sz w:val="26"/>
          <w:szCs w:val="26"/>
          <w:lang w:val="ru-RU"/>
        </w:rPr>
      </w:pPr>
    </w:p>
    <w:p w:rsidR="007D7AFA" w:rsidRPr="002156F2" w:rsidRDefault="007D7AFA" w:rsidP="002156F2">
      <w:pPr>
        <w:ind w:firstLine="709"/>
        <w:jc w:val="both"/>
        <w:rPr>
          <w:rFonts w:ascii="Times New Roman" w:hAnsi="Times New Roman"/>
          <w:sz w:val="26"/>
          <w:szCs w:val="26"/>
          <w:lang w:val="ru-RU"/>
        </w:rPr>
      </w:pPr>
      <w:r w:rsidRPr="002156F2">
        <w:rPr>
          <w:rFonts w:ascii="Times New Roman" w:hAnsi="Times New Roman"/>
          <w:sz w:val="26"/>
          <w:szCs w:val="26"/>
          <w:lang w:val="ru-RU"/>
        </w:rPr>
        <w:t>За да се подпомогне изпадналият в криза селскостопански сектор на България предлагаме:</w:t>
      </w:r>
    </w:p>
    <w:p w:rsidR="007D7AFA" w:rsidRPr="002156F2" w:rsidRDefault="007D7AFA" w:rsidP="002156F2">
      <w:pPr>
        <w:numPr>
          <w:ilvl w:val="0"/>
          <w:numId w:val="50"/>
        </w:numPr>
        <w:jc w:val="both"/>
        <w:rPr>
          <w:rFonts w:ascii="Times New Roman" w:hAnsi="Times New Roman"/>
          <w:sz w:val="26"/>
          <w:szCs w:val="26"/>
        </w:rPr>
      </w:pPr>
      <w:r>
        <w:rPr>
          <w:rFonts w:ascii="Times New Roman" w:hAnsi="Times New Roman"/>
          <w:sz w:val="26"/>
          <w:szCs w:val="26"/>
          <w:lang w:val="ru-RU"/>
        </w:rPr>
        <w:t>Н</w:t>
      </w:r>
      <w:r w:rsidRPr="002156F2">
        <w:rPr>
          <w:rFonts w:ascii="Times New Roman" w:hAnsi="Times New Roman"/>
          <w:sz w:val="26"/>
          <w:szCs w:val="26"/>
        </w:rPr>
        <w:t xml:space="preserve">а ниво страни членки да се предостави по-висока степен на делегиране на права и гъвкавост, за да може всяка страна да съобрази мерки и инструменти за подпомагане, съобразно нивото на развитие на съответните сектори на земеделието си; </w:t>
      </w:r>
    </w:p>
    <w:p w:rsidR="007D7AFA" w:rsidRDefault="007D7AFA" w:rsidP="002156F2">
      <w:pPr>
        <w:numPr>
          <w:ilvl w:val="0"/>
          <w:numId w:val="50"/>
        </w:numPr>
        <w:jc w:val="both"/>
        <w:rPr>
          <w:rFonts w:ascii="Times New Roman" w:hAnsi="Times New Roman"/>
          <w:sz w:val="26"/>
          <w:szCs w:val="26"/>
          <w:lang w:val="ru-RU"/>
        </w:rPr>
      </w:pPr>
      <w:r>
        <w:rPr>
          <w:rFonts w:ascii="Times New Roman" w:hAnsi="Times New Roman"/>
          <w:sz w:val="26"/>
          <w:szCs w:val="26"/>
          <w:lang w:val="ru-RU"/>
        </w:rPr>
        <w:t>Д</w:t>
      </w:r>
      <w:r w:rsidRPr="002156F2">
        <w:rPr>
          <w:rFonts w:ascii="Times New Roman" w:hAnsi="Times New Roman"/>
          <w:sz w:val="26"/>
          <w:szCs w:val="26"/>
          <w:lang w:val="ru-RU"/>
        </w:rPr>
        <w:t>а започнат разговори и лобиране на високо ниво в ЕС за прехвърляне на част от средствата за развитие на селските райони (2–ри стълб на ОСП)  към директни плащания и пазарна подкрепа на земеделските производители (1–ви стълб на ОСП). Основния</w:t>
      </w:r>
      <w:r>
        <w:rPr>
          <w:rFonts w:ascii="Times New Roman" w:hAnsi="Times New Roman"/>
          <w:sz w:val="26"/>
          <w:szCs w:val="26"/>
          <w:lang w:val="ru-RU"/>
        </w:rPr>
        <w:t>т</w:t>
      </w:r>
      <w:r w:rsidRPr="002156F2">
        <w:rPr>
          <w:rFonts w:ascii="Times New Roman" w:hAnsi="Times New Roman"/>
          <w:sz w:val="26"/>
          <w:szCs w:val="26"/>
          <w:lang w:val="ru-RU"/>
        </w:rPr>
        <w:t xml:space="preserve"> мотив за това е, че България трудно усвоява средствата по Програмата за развитие на селските райони. За да не се допусне да връщаме на пари в ЕК е възможно да се прехвърлят 5 -10 % от средствата от 2–ри стълб към 1–ви стълб на ОСП</w:t>
      </w:r>
      <w:r>
        <w:rPr>
          <w:rFonts w:ascii="Times New Roman" w:hAnsi="Times New Roman"/>
          <w:sz w:val="26"/>
          <w:szCs w:val="26"/>
          <w:lang w:val="ru-RU"/>
        </w:rPr>
        <w:t>;</w:t>
      </w:r>
    </w:p>
    <w:p w:rsidR="007D7AFA" w:rsidRPr="002156F2" w:rsidRDefault="007D7AFA" w:rsidP="002156F2">
      <w:pPr>
        <w:numPr>
          <w:ilvl w:val="0"/>
          <w:numId w:val="50"/>
        </w:numPr>
        <w:jc w:val="both"/>
        <w:rPr>
          <w:rFonts w:ascii="Times New Roman" w:hAnsi="Times New Roman"/>
          <w:sz w:val="26"/>
          <w:szCs w:val="26"/>
          <w:lang w:val="ru-RU"/>
        </w:rPr>
      </w:pPr>
      <w:r>
        <w:rPr>
          <w:rFonts w:ascii="Times New Roman" w:hAnsi="Times New Roman"/>
          <w:sz w:val="26"/>
          <w:szCs w:val="26"/>
          <w:lang w:val="ru-RU"/>
        </w:rPr>
        <w:t>Указания за данъчно третиране на субсидиите.</w:t>
      </w:r>
    </w:p>
    <w:p w:rsidR="007D7AFA" w:rsidRPr="00E8247A" w:rsidRDefault="007D7AFA" w:rsidP="00E8247A">
      <w:pPr>
        <w:ind w:left="720"/>
        <w:jc w:val="both"/>
        <w:rPr>
          <w:rFonts w:ascii="Times New Roman" w:hAnsi="Times New Roman"/>
          <w:b/>
          <w:bCs/>
          <w:sz w:val="26"/>
          <w:szCs w:val="26"/>
          <w:u w:val="single"/>
        </w:rPr>
      </w:pPr>
    </w:p>
    <w:p w:rsidR="007D7AFA" w:rsidRDefault="007D7AFA" w:rsidP="00E8247A">
      <w:pPr>
        <w:numPr>
          <w:ilvl w:val="0"/>
          <w:numId w:val="40"/>
        </w:numPr>
        <w:jc w:val="both"/>
        <w:rPr>
          <w:rFonts w:ascii="Times New Roman" w:hAnsi="Times New Roman"/>
          <w:b/>
          <w:bCs/>
          <w:sz w:val="26"/>
          <w:szCs w:val="26"/>
          <w:u w:val="single"/>
        </w:rPr>
      </w:pPr>
      <w:r w:rsidRPr="00662A4E">
        <w:rPr>
          <w:rFonts w:ascii="Times New Roman" w:hAnsi="Times New Roman"/>
          <w:b/>
          <w:bCs/>
          <w:sz w:val="26"/>
          <w:szCs w:val="26"/>
          <w:u w:val="single"/>
        </w:rPr>
        <w:t>ОПЕРАТИВНА ПРОГРАМА РАЗВИТИЕ НА ЧОВЕШКИТЕ РЕСУРСИ</w:t>
      </w:r>
    </w:p>
    <w:p w:rsidR="007D7AFA" w:rsidRPr="00662A4E" w:rsidRDefault="007D7AFA" w:rsidP="00B00631">
      <w:pPr>
        <w:ind w:left="720"/>
        <w:jc w:val="both"/>
        <w:rPr>
          <w:rFonts w:ascii="Times New Roman" w:hAnsi="Times New Roman"/>
          <w:b/>
          <w:bCs/>
          <w:sz w:val="26"/>
          <w:szCs w:val="26"/>
          <w:u w:val="single"/>
        </w:rPr>
      </w:pPr>
    </w:p>
    <w:p w:rsidR="007D7AFA" w:rsidRPr="00662A4E" w:rsidRDefault="007D7AFA" w:rsidP="00662A4E">
      <w:pPr>
        <w:ind w:firstLine="709"/>
        <w:jc w:val="both"/>
        <w:rPr>
          <w:rFonts w:ascii="Times New Roman" w:hAnsi="Times New Roman"/>
          <w:sz w:val="26"/>
          <w:szCs w:val="26"/>
        </w:rPr>
      </w:pPr>
      <w:r w:rsidRPr="00DE0318">
        <w:rPr>
          <w:rFonts w:ascii="Times New Roman" w:hAnsi="Times New Roman"/>
          <w:sz w:val="26"/>
          <w:szCs w:val="26"/>
        </w:rPr>
        <w:t>Подготовката на ОП Развитие на човешките ресурси се отличаваше с особената диалогичност на УО. Бяха проведени многобройни обсъждания на</w:t>
      </w:r>
      <w:r w:rsidRPr="00662A4E">
        <w:rPr>
          <w:rFonts w:ascii="Times New Roman" w:hAnsi="Times New Roman"/>
          <w:sz w:val="26"/>
          <w:szCs w:val="26"/>
        </w:rPr>
        <w:t xml:space="preserve"> вариантите на текста в работната група и в специални експертни групи, като вижданията на социалните партньори бяха инкорпорирани на всеки етап от разработването на програмата. </w:t>
      </w:r>
    </w:p>
    <w:p w:rsidR="007D7AFA" w:rsidRDefault="007D7AFA" w:rsidP="00662A4E">
      <w:pPr>
        <w:ind w:firstLine="709"/>
        <w:jc w:val="both"/>
        <w:rPr>
          <w:rFonts w:ascii="Times New Roman" w:hAnsi="Times New Roman"/>
          <w:sz w:val="26"/>
          <w:szCs w:val="26"/>
        </w:rPr>
      </w:pPr>
      <w:r w:rsidRPr="00DE0318">
        <w:rPr>
          <w:rFonts w:ascii="Times New Roman" w:hAnsi="Times New Roman"/>
          <w:sz w:val="26"/>
          <w:szCs w:val="26"/>
        </w:rPr>
        <w:t>Изключително положителна е практиката</w:t>
      </w:r>
      <w:r w:rsidRPr="00662A4E">
        <w:rPr>
          <w:rFonts w:ascii="Times New Roman" w:hAnsi="Times New Roman"/>
          <w:sz w:val="26"/>
          <w:szCs w:val="26"/>
        </w:rPr>
        <w:t xml:space="preserve">, възприета от УО и МЗ, особено в лицето на Агенция по заетостта  </w:t>
      </w:r>
      <w:r w:rsidRPr="00DE0318">
        <w:rPr>
          <w:rFonts w:ascii="Times New Roman" w:hAnsi="Times New Roman"/>
          <w:sz w:val="26"/>
          <w:szCs w:val="26"/>
        </w:rPr>
        <w:t>в диалогов режим критериите за избор на операции да бъдат предварително обсъждани с представителите от социалните партньори на експертно равнище</w:t>
      </w:r>
      <w:r w:rsidRPr="00662A4E">
        <w:rPr>
          <w:rFonts w:ascii="Times New Roman" w:hAnsi="Times New Roman"/>
          <w:sz w:val="26"/>
          <w:szCs w:val="26"/>
        </w:rPr>
        <w:t xml:space="preserve"> на специално насрочени работни срещи. Разглеждат </w:t>
      </w:r>
      <w:r>
        <w:rPr>
          <w:rFonts w:ascii="Times New Roman" w:hAnsi="Times New Roman"/>
          <w:sz w:val="26"/>
          <w:szCs w:val="26"/>
        </w:rPr>
        <w:t xml:space="preserve">се </w:t>
      </w:r>
      <w:r w:rsidRPr="00662A4E">
        <w:rPr>
          <w:rFonts w:ascii="Times New Roman" w:hAnsi="Times New Roman"/>
          <w:sz w:val="26"/>
          <w:szCs w:val="26"/>
        </w:rPr>
        <w:t xml:space="preserve">основни параметри на бъдещите схеми - максимално допустим размер на безвъзмездното финансиране, критерии за допустимост на кандидатите и интензитет на държавната помощ. </w:t>
      </w:r>
    </w:p>
    <w:p w:rsidR="007D7AFA" w:rsidRPr="00662A4E" w:rsidRDefault="007D7AFA" w:rsidP="00662A4E">
      <w:pPr>
        <w:ind w:firstLine="709"/>
        <w:jc w:val="both"/>
        <w:rPr>
          <w:rFonts w:ascii="Times New Roman" w:hAnsi="Times New Roman"/>
          <w:sz w:val="26"/>
          <w:szCs w:val="26"/>
        </w:rPr>
      </w:pPr>
    </w:p>
    <w:p w:rsidR="007D7AFA" w:rsidRPr="00662A4E" w:rsidRDefault="007D7AFA" w:rsidP="00B00631">
      <w:pPr>
        <w:ind w:firstLine="709"/>
        <w:jc w:val="both"/>
        <w:rPr>
          <w:rFonts w:ascii="Times New Roman" w:hAnsi="Times New Roman"/>
          <w:sz w:val="26"/>
          <w:szCs w:val="26"/>
        </w:rPr>
      </w:pPr>
      <w:r w:rsidRPr="00662A4E">
        <w:rPr>
          <w:rFonts w:ascii="Times New Roman" w:hAnsi="Times New Roman"/>
          <w:sz w:val="26"/>
          <w:szCs w:val="26"/>
        </w:rPr>
        <w:t xml:space="preserve">В същото време, при прилагането на одобрените грантови схеми бяха дефинирани следните проблеми, за които към УО и МЗ вече е отправен сигнал и те биват и в момента обсъждани, </w:t>
      </w:r>
      <w:r>
        <w:rPr>
          <w:rFonts w:ascii="Times New Roman" w:hAnsi="Times New Roman"/>
          <w:sz w:val="26"/>
          <w:szCs w:val="26"/>
        </w:rPr>
        <w:t>но</w:t>
      </w:r>
      <w:r w:rsidRPr="00662A4E">
        <w:rPr>
          <w:rFonts w:ascii="Times New Roman" w:hAnsi="Times New Roman"/>
          <w:sz w:val="26"/>
          <w:szCs w:val="26"/>
        </w:rPr>
        <w:t xml:space="preserve"> решение</w:t>
      </w:r>
      <w:r>
        <w:rPr>
          <w:rFonts w:ascii="Times New Roman" w:hAnsi="Times New Roman"/>
          <w:sz w:val="26"/>
          <w:szCs w:val="26"/>
        </w:rPr>
        <w:t xml:space="preserve"> все още н</w:t>
      </w:r>
      <w:r w:rsidRPr="00662A4E">
        <w:rPr>
          <w:rFonts w:ascii="Times New Roman" w:hAnsi="Times New Roman"/>
          <w:sz w:val="26"/>
          <w:szCs w:val="26"/>
        </w:rPr>
        <w:t>е</w:t>
      </w:r>
      <w:r>
        <w:rPr>
          <w:rFonts w:ascii="Times New Roman" w:hAnsi="Times New Roman"/>
          <w:sz w:val="26"/>
          <w:szCs w:val="26"/>
        </w:rPr>
        <w:t xml:space="preserve"> е</w:t>
      </w:r>
      <w:r w:rsidRPr="00662A4E">
        <w:rPr>
          <w:rFonts w:ascii="Times New Roman" w:hAnsi="Times New Roman"/>
          <w:sz w:val="26"/>
          <w:szCs w:val="26"/>
        </w:rPr>
        <w:t xml:space="preserve"> намерено:</w:t>
      </w:r>
    </w:p>
    <w:p w:rsidR="007D7AFA" w:rsidRPr="00662A4E" w:rsidRDefault="007D7AFA" w:rsidP="00B00631">
      <w:pPr>
        <w:numPr>
          <w:ilvl w:val="0"/>
          <w:numId w:val="45"/>
        </w:numPr>
        <w:tabs>
          <w:tab w:val="clear" w:pos="1428"/>
          <w:tab w:val="num" w:pos="709"/>
        </w:tabs>
        <w:ind w:left="709" w:hanging="283"/>
        <w:jc w:val="both"/>
        <w:rPr>
          <w:rFonts w:ascii="Times New Roman" w:hAnsi="Times New Roman"/>
          <w:sz w:val="26"/>
          <w:szCs w:val="26"/>
        </w:rPr>
      </w:pPr>
      <w:r w:rsidRPr="00DE0318">
        <w:rPr>
          <w:rFonts w:ascii="Times New Roman" w:hAnsi="Times New Roman"/>
          <w:sz w:val="26"/>
          <w:szCs w:val="26"/>
        </w:rPr>
        <w:t>Ограничението за обединяване в един проект на обучаеми от различен тип предприятия – малки, средни и големи, което следва да отпадне.</w:t>
      </w:r>
      <w:r w:rsidRPr="00662A4E">
        <w:rPr>
          <w:rFonts w:ascii="Times New Roman" w:hAnsi="Times New Roman"/>
          <w:sz w:val="26"/>
          <w:szCs w:val="26"/>
        </w:rPr>
        <w:t xml:space="preserve"> Различието в интензитета на държавната помощ е инструмент, който може да бъде прилаган и в бъдеще, но той не би трябвало да възпрепятства обединяването на различни типове предприятия за организирането на по-ефективни обучения. Биха могли да бъдат търсени различни решения в тази посока – като например определяне на пропорционален размер съфинансиране за малки, средни и големи предприятия, обединени в един проект, на основа на относителния дял на обучаемите;</w:t>
      </w:r>
    </w:p>
    <w:p w:rsidR="007D7AFA" w:rsidRPr="00662A4E" w:rsidRDefault="007D7AFA" w:rsidP="00B00631">
      <w:pPr>
        <w:numPr>
          <w:ilvl w:val="0"/>
          <w:numId w:val="45"/>
        </w:numPr>
        <w:tabs>
          <w:tab w:val="clear" w:pos="1428"/>
          <w:tab w:val="num" w:pos="709"/>
        </w:tabs>
        <w:ind w:left="709" w:hanging="283"/>
        <w:jc w:val="both"/>
        <w:rPr>
          <w:rFonts w:ascii="Times New Roman" w:hAnsi="Times New Roman"/>
          <w:sz w:val="26"/>
          <w:szCs w:val="26"/>
        </w:rPr>
      </w:pPr>
      <w:r w:rsidRPr="00DE0318">
        <w:rPr>
          <w:rFonts w:ascii="Times New Roman" w:hAnsi="Times New Roman"/>
          <w:sz w:val="26"/>
          <w:szCs w:val="26"/>
        </w:rPr>
        <w:t>Определяне на ясни и с конкретен срок процедури за одобряване на тръжната документация на бенефициентите при избор на подизпълнители, така че да не се забавят дейностите по изпълнението на одобрените проекти. Като си даваме ясна сметка за административните</w:t>
      </w:r>
      <w:r w:rsidRPr="00662A4E">
        <w:rPr>
          <w:rFonts w:ascii="Times New Roman" w:hAnsi="Times New Roman"/>
          <w:sz w:val="26"/>
          <w:szCs w:val="26"/>
        </w:rPr>
        <w:t xml:space="preserve"> трудности, които УО и МЗ изпитват предвид на големия брой проекти, които трябва да администрират поради спецификата на програмата, все пак считаме, че бенефициентите трябва да работят с ясни срокове, за да бъдат в състояние успешно да реализират проектите си</w:t>
      </w:r>
      <w:r>
        <w:rPr>
          <w:rFonts w:ascii="Times New Roman" w:hAnsi="Times New Roman"/>
          <w:sz w:val="26"/>
          <w:szCs w:val="26"/>
        </w:rPr>
        <w:t>;</w:t>
      </w:r>
    </w:p>
    <w:p w:rsidR="007D7AFA" w:rsidRPr="00662A4E" w:rsidRDefault="007D7AFA" w:rsidP="00B00631">
      <w:pPr>
        <w:numPr>
          <w:ilvl w:val="0"/>
          <w:numId w:val="45"/>
        </w:numPr>
        <w:tabs>
          <w:tab w:val="clear" w:pos="1428"/>
          <w:tab w:val="num" w:pos="709"/>
        </w:tabs>
        <w:ind w:left="709" w:hanging="283"/>
        <w:jc w:val="both"/>
        <w:rPr>
          <w:rFonts w:ascii="Times New Roman" w:hAnsi="Times New Roman"/>
          <w:sz w:val="26"/>
          <w:szCs w:val="26"/>
        </w:rPr>
      </w:pPr>
      <w:r w:rsidRPr="00DE0318">
        <w:rPr>
          <w:rFonts w:ascii="Times New Roman" w:hAnsi="Times New Roman"/>
          <w:sz w:val="26"/>
          <w:szCs w:val="26"/>
        </w:rPr>
        <w:t>Ускоряване на процеса на проверка и верифициране на разходите – в</w:t>
      </w:r>
      <w:r>
        <w:rPr>
          <w:rFonts w:ascii="Times New Roman" w:hAnsi="Times New Roman"/>
          <w:sz w:val="26"/>
          <w:szCs w:val="26"/>
        </w:rPr>
        <w:t xml:space="preserve"> момента има забавяне на проверка на финалните отчети с около 3 - 4 месеца, още в регионалните дирекции на бюрата по труда, преди да бъдат придвижени към МЗ, след което следва още поне 3 – 4 месеца преди извършване на плащане</w:t>
      </w:r>
      <w:r w:rsidRPr="00662A4E">
        <w:rPr>
          <w:rFonts w:ascii="Times New Roman" w:hAnsi="Times New Roman"/>
          <w:sz w:val="26"/>
          <w:szCs w:val="26"/>
        </w:rPr>
        <w:t>.</w:t>
      </w:r>
    </w:p>
    <w:p w:rsidR="007D7AFA" w:rsidRPr="00662A4E" w:rsidRDefault="007D7AFA" w:rsidP="00662A4E">
      <w:pPr>
        <w:ind w:left="360"/>
        <w:jc w:val="both"/>
        <w:rPr>
          <w:rFonts w:ascii="Times New Roman" w:hAnsi="Times New Roman"/>
          <w:sz w:val="26"/>
          <w:szCs w:val="26"/>
        </w:rPr>
      </w:pPr>
    </w:p>
    <w:p w:rsidR="007D7AFA" w:rsidRDefault="007D7AFA" w:rsidP="00E8247A">
      <w:pPr>
        <w:numPr>
          <w:ilvl w:val="0"/>
          <w:numId w:val="40"/>
        </w:numPr>
        <w:jc w:val="both"/>
        <w:rPr>
          <w:rFonts w:ascii="Times New Roman" w:hAnsi="Times New Roman"/>
          <w:b/>
          <w:bCs/>
          <w:sz w:val="26"/>
          <w:szCs w:val="26"/>
          <w:u w:val="single"/>
        </w:rPr>
      </w:pPr>
      <w:r w:rsidRPr="00662A4E">
        <w:rPr>
          <w:rFonts w:ascii="Times New Roman" w:hAnsi="Times New Roman"/>
          <w:b/>
          <w:bCs/>
          <w:sz w:val="26"/>
          <w:szCs w:val="26"/>
          <w:u w:val="single"/>
        </w:rPr>
        <w:t xml:space="preserve">ОПЕРАТИВНА ПРОГРАМА </w:t>
      </w:r>
      <w:r>
        <w:rPr>
          <w:rFonts w:ascii="Times New Roman" w:hAnsi="Times New Roman"/>
          <w:b/>
          <w:bCs/>
          <w:sz w:val="26"/>
          <w:szCs w:val="26"/>
          <w:u w:val="single"/>
        </w:rPr>
        <w:t>АДМИНИСТРАТИВЕН КАПАЦИТЕТ</w:t>
      </w:r>
    </w:p>
    <w:p w:rsidR="007D7AFA" w:rsidRPr="00662A4E" w:rsidRDefault="007D7AFA" w:rsidP="00C145DE">
      <w:pPr>
        <w:ind w:left="720"/>
        <w:jc w:val="both"/>
        <w:rPr>
          <w:rFonts w:ascii="Times New Roman" w:hAnsi="Times New Roman"/>
          <w:b/>
          <w:bCs/>
          <w:sz w:val="26"/>
          <w:szCs w:val="26"/>
          <w:u w:val="single"/>
        </w:rPr>
      </w:pPr>
    </w:p>
    <w:p w:rsidR="007D7AFA" w:rsidRPr="00662A4E" w:rsidRDefault="007D7AFA" w:rsidP="00C145DE">
      <w:pPr>
        <w:ind w:firstLine="709"/>
        <w:jc w:val="both"/>
        <w:rPr>
          <w:rFonts w:ascii="Times New Roman" w:hAnsi="Times New Roman"/>
          <w:sz w:val="26"/>
          <w:szCs w:val="26"/>
        </w:rPr>
      </w:pPr>
      <w:r>
        <w:rPr>
          <w:rFonts w:ascii="Times New Roman" w:hAnsi="Times New Roman"/>
          <w:sz w:val="26"/>
          <w:szCs w:val="26"/>
        </w:rPr>
        <w:t>Въпреки силния старт на програмата, в момента, може би поради преструктурирането на УО, се наблюдава недопустимо забавяне на процедурите</w:t>
      </w:r>
      <w:r w:rsidRPr="00662A4E">
        <w:rPr>
          <w:rFonts w:ascii="Times New Roman" w:hAnsi="Times New Roman"/>
          <w:sz w:val="26"/>
          <w:szCs w:val="26"/>
        </w:rPr>
        <w:t>.</w:t>
      </w:r>
      <w:r>
        <w:rPr>
          <w:rFonts w:ascii="Times New Roman" w:hAnsi="Times New Roman"/>
          <w:sz w:val="26"/>
          <w:szCs w:val="26"/>
        </w:rPr>
        <w:t xml:space="preserve"> Например, одитирането на финален отчет и верифицирането на разходите по него се бави близо 1 година след приключването на проекта, което на практика затруднява изключително много бенефициентите. В много случаи, след толкова дълъг срок е почти невъзможно да бъде осигурен екипът за управление на проекта при евентуалното провеждане на финалния одит, тъй като при толкова дълъг период е възможна смяна на работните места на практика на целия екип.</w:t>
      </w:r>
    </w:p>
    <w:p w:rsidR="007D7AFA" w:rsidRDefault="007D7AFA" w:rsidP="00662A4E">
      <w:pPr>
        <w:spacing w:line="360" w:lineRule="auto"/>
        <w:ind w:firstLine="3544"/>
        <w:jc w:val="both"/>
        <w:rPr>
          <w:rFonts w:ascii="Times New Roman" w:hAnsi="Times New Roman"/>
          <w:sz w:val="26"/>
          <w:szCs w:val="26"/>
          <w:lang w:val="en-US"/>
        </w:rPr>
      </w:pPr>
    </w:p>
    <w:p w:rsidR="007D7AFA" w:rsidRDefault="007D7AFA" w:rsidP="00662A4E">
      <w:pPr>
        <w:spacing w:line="360" w:lineRule="auto"/>
        <w:ind w:firstLine="3544"/>
        <w:jc w:val="both"/>
        <w:rPr>
          <w:rFonts w:ascii="Times New Roman" w:hAnsi="Times New Roman"/>
          <w:sz w:val="26"/>
          <w:szCs w:val="26"/>
          <w:lang w:val="en-US"/>
        </w:rPr>
      </w:pPr>
    </w:p>
    <w:p w:rsidR="007D7AFA" w:rsidRPr="00FE18B3" w:rsidRDefault="007D7AFA" w:rsidP="00662A4E">
      <w:pPr>
        <w:spacing w:line="360" w:lineRule="auto"/>
        <w:ind w:firstLine="3544"/>
        <w:jc w:val="both"/>
        <w:rPr>
          <w:rFonts w:ascii="Times New Roman" w:hAnsi="Times New Roman"/>
          <w:sz w:val="26"/>
          <w:szCs w:val="26"/>
          <w:lang w:val="en-US"/>
        </w:rPr>
      </w:pPr>
    </w:p>
    <w:p w:rsidR="007D7AFA" w:rsidRPr="00FE18B3" w:rsidRDefault="007D7AFA">
      <w:pPr>
        <w:spacing w:line="360" w:lineRule="auto"/>
        <w:ind w:firstLine="3544"/>
        <w:jc w:val="both"/>
        <w:rPr>
          <w:rFonts w:ascii="Times New Roman" w:hAnsi="Times New Roman"/>
          <w:sz w:val="26"/>
          <w:szCs w:val="26"/>
          <w:lang w:val="en-US"/>
        </w:rPr>
      </w:pPr>
    </w:p>
    <w:sectPr w:rsidR="007D7AFA" w:rsidRPr="00FE18B3" w:rsidSect="00742288">
      <w:footerReference w:type="default" r:id="rId10"/>
      <w:pgSz w:w="11906" w:h="16838"/>
      <w:pgMar w:top="568" w:right="127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AFA" w:rsidRDefault="007D7AFA" w:rsidP="00E75F98">
      <w:r>
        <w:separator/>
      </w:r>
    </w:p>
  </w:endnote>
  <w:endnote w:type="continuationSeparator" w:id="1">
    <w:p w:rsidR="007D7AFA" w:rsidRDefault="007D7AFA" w:rsidP="00E75F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AFA" w:rsidRDefault="007D7AFA">
    <w:pPr>
      <w:pStyle w:val="Footer"/>
      <w:jc w:val="right"/>
    </w:pPr>
    <w:fldSimple w:instr=" PAGE   \* MERGEFORMAT ">
      <w:r>
        <w:rPr>
          <w:noProof/>
        </w:rPr>
        <w:t>10</w:t>
      </w:r>
    </w:fldSimple>
  </w:p>
  <w:p w:rsidR="007D7AFA" w:rsidRDefault="007D7A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AFA" w:rsidRDefault="007D7AFA" w:rsidP="00E75F98">
      <w:r>
        <w:separator/>
      </w:r>
    </w:p>
  </w:footnote>
  <w:footnote w:type="continuationSeparator" w:id="1">
    <w:p w:rsidR="007D7AFA" w:rsidRDefault="007D7AFA" w:rsidP="00E75F98">
      <w:r>
        <w:continuationSeparator/>
      </w:r>
    </w:p>
  </w:footnote>
  <w:footnote w:id="2">
    <w:p w:rsidR="007D7AFA" w:rsidRDefault="007D7AFA" w:rsidP="00E8247A">
      <w:pPr>
        <w:pStyle w:val="FootnoteText"/>
      </w:pPr>
      <w:r>
        <w:rPr>
          <w:rStyle w:val="FootnoteReference"/>
        </w:rPr>
        <w:footnoteRef/>
      </w:r>
      <w:r>
        <w:t xml:space="preserve"> Впрочем, важно е темите да са адекватни на потребностите, т.е. следва да се преразгледат приоритетите в програмата от страна на Комитета за наблюдение. Вече година се коментира икономическата криза, а това не се отразява при разработваните от страна на УО програмни операции.</w:t>
      </w:r>
    </w:p>
  </w:footnote>
  <w:footnote w:id="3">
    <w:p w:rsidR="007D7AFA" w:rsidRDefault="007D7AFA" w:rsidP="00E8247A">
      <w:pPr>
        <w:pStyle w:val="FootnoteText"/>
      </w:pPr>
      <w:r>
        <w:rPr>
          <w:rStyle w:val="FootnoteReference"/>
        </w:rPr>
        <w:footnoteRef/>
      </w:r>
      <w:r>
        <w:t xml:space="preserve"> Независимо от неколкократните обсъждания и предложения от наша страна нищо конкретно и реално не се направи за практическото разработване, финансиране и функциониране на бизнес мрежи, основани на базата на капацитета на социалните партньори</w:t>
      </w:r>
    </w:p>
  </w:footnote>
  <w:footnote w:id="4">
    <w:p w:rsidR="007D7AFA" w:rsidRDefault="007D7AFA" w:rsidP="003B6916">
      <w:pPr>
        <w:pStyle w:val="FootnoteText"/>
        <w:jc w:val="both"/>
      </w:pPr>
      <w:r>
        <w:rPr>
          <w:rStyle w:val="FootnoteReference"/>
        </w:rPr>
        <w:footnoteRef/>
      </w:r>
      <w:r>
        <w:t xml:space="preserve"> Без да се компрометира конфиденциалността на конкретен бенефициент</w:t>
      </w:r>
      <w:r>
        <w:rPr>
          <w:lang w:val="bg-BG"/>
        </w:rPr>
        <w:t>.</w:t>
      </w:r>
    </w:p>
  </w:footnote>
  <w:footnote w:id="5">
    <w:p w:rsidR="007D7AFA" w:rsidRDefault="007D7AFA" w:rsidP="003B6916">
      <w:pPr>
        <w:pStyle w:val="FootnoteText"/>
        <w:jc w:val="both"/>
      </w:pPr>
      <w:r>
        <w:rPr>
          <w:rStyle w:val="FootnoteReference"/>
        </w:rPr>
        <w:footnoteRef/>
      </w:r>
      <w:r>
        <w:t xml:space="preserve"> Следователно нужни са пълноценни, ясни и конкретни ръководства, както и простички насоки за кандидатстване. Това с цел в максимална степен да улесни реципиента и да го провокира към самостоятелност. За съжаление практиката на предоставяните консултантски услуги предполага ограничена заинтересованост сред консултантите само към „написването” на проектно предложение и то по възможност до максималния възможен размер на гранта с цел максимално success</w:t>
      </w:r>
      <w:r w:rsidRPr="0064392B">
        <w:rPr>
          <w:lang w:val="ru-RU"/>
        </w:rPr>
        <w:t xml:space="preserve"> </w:t>
      </w:r>
      <w:r>
        <w:t>fee, а това води нерядко до неадекватни проекти и очаквания</w:t>
      </w:r>
      <w:r>
        <w:rPr>
          <w:lang w:val="bg-BG"/>
        </w:rPr>
        <w:t>.</w:t>
      </w:r>
    </w:p>
  </w:footnote>
  <w:footnote w:id="6">
    <w:p w:rsidR="007D7AFA" w:rsidRDefault="007D7AFA">
      <w:pPr>
        <w:pStyle w:val="FootnoteText"/>
      </w:pPr>
      <w:r>
        <w:rPr>
          <w:rStyle w:val="FootnoteReference"/>
        </w:rPr>
        <w:footnoteRef/>
      </w:r>
      <w:r>
        <w:t xml:space="preserve"> Естествено без да нарушава интересите на неуспелите кандидати</w:t>
      </w:r>
      <w:r>
        <w:rPr>
          <w:lang w:val="bg-BG"/>
        </w:rPr>
        <w:t xml:space="preserve"> .</w:t>
      </w:r>
    </w:p>
  </w:footnote>
  <w:footnote w:id="7">
    <w:p w:rsidR="007D7AFA" w:rsidRDefault="007D7AFA" w:rsidP="00E8247A">
      <w:pPr>
        <w:pStyle w:val="FootnoteText"/>
      </w:pPr>
      <w:r>
        <w:rPr>
          <w:rStyle w:val="FootnoteReference"/>
        </w:rPr>
        <w:footnoteRef/>
      </w:r>
      <w:r>
        <w:t xml:space="preserve"> Отново бенефициента се третира с презумпция за виновност и користност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7AF3"/>
    <w:multiLevelType w:val="hybridMultilevel"/>
    <w:tmpl w:val="1236F1BE"/>
    <w:lvl w:ilvl="0" w:tplc="04020001">
      <w:start w:val="1"/>
      <w:numFmt w:val="bullet"/>
      <w:lvlText w:val=""/>
      <w:lvlJc w:val="left"/>
      <w:pPr>
        <w:ind w:left="1350" w:hanging="360"/>
      </w:pPr>
      <w:rPr>
        <w:rFonts w:ascii="Symbol" w:hAnsi="Symbol"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
    <w:nsid w:val="097F6FC2"/>
    <w:multiLevelType w:val="hybridMultilevel"/>
    <w:tmpl w:val="6A54A620"/>
    <w:lvl w:ilvl="0" w:tplc="60E00114">
      <w:start w:val="1"/>
      <w:numFmt w:val="decimal"/>
      <w:lvlText w:val="4.2.%1."/>
      <w:lvlJc w:val="left"/>
      <w:pPr>
        <w:tabs>
          <w:tab w:val="num" w:pos="1980"/>
        </w:tabs>
        <w:ind w:left="198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BE7046"/>
    <w:multiLevelType w:val="hybridMultilevel"/>
    <w:tmpl w:val="A6F6BE5A"/>
    <w:lvl w:ilvl="0" w:tplc="D5AA7F92">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
    <w:nsid w:val="0AC96CB1"/>
    <w:multiLevelType w:val="hybridMultilevel"/>
    <w:tmpl w:val="32DEEBAC"/>
    <w:lvl w:ilvl="0" w:tplc="6E56525A">
      <w:start w:val="1"/>
      <w:numFmt w:val="decimal"/>
      <w:lvlText w:val="4.6.%1."/>
      <w:lvlJc w:val="left"/>
      <w:pPr>
        <w:tabs>
          <w:tab w:val="num" w:pos="1080"/>
        </w:tabs>
        <w:ind w:left="108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BC47FD7"/>
    <w:multiLevelType w:val="hybridMultilevel"/>
    <w:tmpl w:val="811ECE00"/>
    <w:lvl w:ilvl="0" w:tplc="57769EF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3124D6"/>
    <w:multiLevelType w:val="hybridMultilevel"/>
    <w:tmpl w:val="F5901854"/>
    <w:lvl w:ilvl="0" w:tplc="C58C3D08">
      <w:start w:val="1"/>
      <w:numFmt w:val="decimal"/>
      <w:lvlText w:val="1.%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3055CDE"/>
    <w:multiLevelType w:val="hybridMultilevel"/>
    <w:tmpl w:val="E2043E4C"/>
    <w:lvl w:ilvl="0" w:tplc="5C1034A2">
      <w:start w:val="1"/>
      <w:numFmt w:val="decimal"/>
      <w:lvlText w:val="4.1.%1."/>
      <w:lvlJc w:val="left"/>
      <w:pPr>
        <w:tabs>
          <w:tab w:val="num" w:pos="1080"/>
        </w:tabs>
        <w:ind w:left="108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5C01C37"/>
    <w:multiLevelType w:val="hybridMultilevel"/>
    <w:tmpl w:val="4ACE1B76"/>
    <w:lvl w:ilvl="0" w:tplc="4D46EDD2">
      <w:start w:val="1"/>
      <w:numFmt w:val="decimal"/>
      <w:lvlText w:val="4.3.%1."/>
      <w:lvlJc w:val="left"/>
      <w:pPr>
        <w:tabs>
          <w:tab w:val="num" w:pos="1980"/>
        </w:tabs>
        <w:ind w:left="198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7252D21"/>
    <w:multiLevelType w:val="hybridMultilevel"/>
    <w:tmpl w:val="0330A50C"/>
    <w:lvl w:ilvl="0" w:tplc="6220C71C">
      <w:start w:val="1"/>
      <w:numFmt w:val="decimal"/>
      <w:lvlText w:val="%1."/>
      <w:lvlJc w:val="left"/>
      <w:pPr>
        <w:tabs>
          <w:tab w:val="num" w:pos="720"/>
        </w:tabs>
        <w:ind w:left="720" w:hanging="360"/>
      </w:pPr>
      <w:rPr>
        <w:rFonts w:cs="Times New Roman" w:hint="default"/>
        <w:b/>
        <w:i w:val="0"/>
      </w:rPr>
    </w:lvl>
    <w:lvl w:ilvl="1" w:tplc="57769EFC">
      <w:start w:val="1"/>
      <w:numFmt w:val="bullet"/>
      <w:lvlText w:val=""/>
      <w:lvlJc w:val="left"/>
      <w:pPr>
        <w:tabs>
          <w:tab w:val="num" w:pos="1440"/>
        </w:tabs>
        <w:ind w:left="1440" w:hanging="360"/>
      </w:pPr>
      <w:rPr>
        <w:rFonts w:ascii="Wingdings" w:hAnsi="Wingdings" w:hint="default"/>
        <w:b w:val="0"/>
        <w:i w:val="0"/>
        <w:sz w:val="24"/>
      </w:rPr>
    </w:lvl>
    <w:lvl w:ilvl="2" w:tplc="48B0E57C">
      <w:start w:val="7"/>
      <w:numFmt w:val="decimal"/>
      <w:lvlText w:val="4.1.%3."/>
      <w:lvlJc w:val="left"/>
      <w:pPr>
        <w:tabs>
          <w:tab w:val="num" w:pos="1980"/>
        </w:tabs>
        <w:ind w:left="1980"/>
      </w:pPr>
      <w:rPr>
        <w:rFonts w:ascii="Times New Roman" w:hAnsi="Times New Roman" w:cs="Times New Roman"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9AE658D"/>
    <w:multiLevelType w:val="hybridMultilevel"/>
    <w:tmpl w:val="8FC87E9C"/>
    <w:lvl w:ilvl="0" w:tplc="A4361430">
      <w:start w:val="1"/>
      <w:numFmt w:val="decimal"/>
      <w:lvlText w:val="5.1.%1."/>
      <w:lvlJc w:val="left"/>
      <w:pPr>
        <w:tabs>
          <w:tab w:val="num" w:pos="0"/>
        </w:tabs>
      </w:pPr>
      <w:rPr>
        <w:rFonts w:ascii="Times New Roman" w:hAnsi="Times New Roman" w:cs="Times New Roman" w:hint="default"/>
        <w:sz w:val="24"/>
        <w:szCs w:val="24"/>
      </w:rPr>
    </w:lvl>
    <w:lvl w:ilvl="1" w:tplc="57769EFC">
      <w:start w:val="1"/>
      <w:numFmt w:val="bullet"/>
      <w:lvlText w:val=""/>
      <w:lvlJc w:val="left"/>
      <w:pPr>
        <w:tabs>
          <w:tab w:val="num" w:pos="1440"/>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9CC5603"/>
    <w:multiLevelType w:val="hybridMultilevel"/>
    <w:tmpl w:val="85FEFA96"/>
    <w:lvl w:ilvl="0" w:tplc="57769EFC">
      <w:start w:val="1"/>
      <w:numFmt w:val="bullet"/>
      <w:lvlText w:val=""/>
      <w:lvlJc w:val="left"/>
      <w:pPr>
        <w:tabs>
          <w:tab w:val="num" w:pos="720"/>
        </w:tabs>
        <w:ind w:left="720" w:hanging="360"/>
      </w:pPr>
      <w:rPr>
        <w:rFonts w:ascii="Wingdings" w:hAnsi="Wingdings" w:hint="default"/>
        <w:sz w:val="24"/>
      </w:rPr>
    </w:lvl>
    <w:lvl w:ilvl="1" w:tplc="2E8ADB2C">
      <w:start w:val="5"/>
      <w:numFmt w:val="decimal"/>
      <w:lvlText w:val="3.%2."/>
      <w:lvlJc w:val="left"/>
      <w:pPr>
        <w:tabs>
          <w:tab w:val="num" w:pos="1080"/>
        </w:tabs>
        <w:ind w:left="1080"/>
      </w:pPr>
      <w:rPr>
        <w:rFonts w:ascii="Times New Roman" w:hAnsi="Times New Roman" w:cs="Times New Roman"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2B2D73"/>
    <w:multiLevelType w:val="hybridMultilevel"/>
    <w:tmpl w:val="A124655E"/>
    <w:lvl w:ilvl="0" w:tplc="57769EF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BF3303"/>
    <w:multiLevelType w:val="hybridMultilevel"/>
    <w:tmpl w:val="8F2023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2D7553D"/>
    <w:multiLevelType w:val="hybridMultilevel"/>
    <w:tmpl w:val="AD2E6ECE"/>
    <w:lvl w:ilvl="0" w:tplc="B5B2035A">
      <w:start w:val="9"/>
      <w:numFmt w:val="decimal"/>
      <w:lvlText w:val="4.1.%1."/>
      <w:lvlJc w:val="left"/>
      <w:pPr>
        <w:tabs>
          <w:tab w:val="num" w:pos="360"/>
        </w:tabs>
        <w:ind w:left="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3F80CB8"/>
    <w:multiLevelType w:val="hybridMultilevel"/>
    <w:tmpl w:val="91863204"/>
    <w:lvl w:ilvl="0" w:tplc="57769EFC">
      <w:start w:val="1"/>
      <w:numFmt w:val="bullet"/>
      <w:lvlText w:val=""/>
      <w:lvlJc w:val="left"/>
      <w:pPr>
        <w:tabs>
          <w:tab w:val="num" w:pos="1428"/>
        </w:tabs>
        <w:ind w:left="1428" w:hanging="360"/>
      </w:pPr>
      <w:rPr>
        <w:rFonts w:ascii="Wingdings" w:hAnsi="Wingdings" w:hint="default"/>
        <w:sz w:val="24"/>
      </w:rPr>
    </w:lvl>
    <w:lvl w:ilvl="1" w:tplc="60E00114">
      <w:start w:val="1"/>
      <w:numFmt w:val="decimal"/>
      <w:lvlText w:val="4.2.%2."/>
      <w:lvlJc w:val="left"/>
      <w:pPr>
        <w:tabs>
          <w:tab w:val="num" w:pos="1080"/>
        </w:tabs>
        <w:ind w:left="1080"/>
      </w:pPr>
      <w:rPr>
        <w:rFonts w:ascii="Times New Roman" w:hAnsi="Times New Roman" w:cs="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841A23"/>
    <w:multiLevelType w:val="hybridMultilevel"/>
    <w:tmpl w:val="F0965DD6"/>
    <w:lvl w:ilvl="0" w:tplc="2ED86A58">
      <w:start w:val="1"/>
      <w:numFmt w:val="decimal"/>
      <w:lvlText w:val="3.%1."/>
      <w:lvlJc w:val="left"/>
      <w:pPr>
        <w:tabs>
          <w:tab w:val="num" w:pos="1080"/>
        </w:tabs>
        <w:ind w:left="108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55C6ABD"/>
    <w:multiLevelType w:val="multilevel"/>
    <w:tmpl w:val="5C884518"/>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2"/>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7">
    <w:nsid w:val="28574CBC"/>
    <w:multiLevelType w:val="hybridMultilevel"/>
    <w:tmpl w:val="4DC277BE"/>
    <w:lvl w:ilvl="0" w:tplc="57769EFC">
      <w:start w:val="1"/>
      <w:numFmt w:val="bullet"/>
      <w:lvlText w:val=""/>
      <w:lvlJc w:val="left"/>
      <w:pPr>
        <w:tabs>
          <w:tab w:val="num" w:pos="1440"/>
        </w:tabs>
        <w:ind w:left="1440" w:hanging="360"/>
      </w:pPr>
      <w:rPr>
        <w:rFonts w:ascii="Wingdings" w:hAnsi="Wingdings" w:hint="default"/>
        <w:sz w:val="24"/>
      </w:rPr>
    </w:lvl>
    <w:lvl w:ilvl="1" w:tplc="5C1034A2">
      <w:start w:val="1"/>
      <w:numFmt w:val="decimal"/>
      <w:lvlText w:val="4.1.%2."/>
      <w:lvlJc w:val="left"/>
      <w:pPr>
        <w:tabs>
          <w:tab w:val="num" w:pos="1800"/>
        </w:tabs>
        <w:ind w:left="1800"/>
      </w:pPr>
      <w:rPr>
        <w:rFonts w:ascii="Times New Roman" w:hAnsi="Times New Roman" w:cs="Times New Roman"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9EB62C2"/>
    <w:multiLevelType w:val="hybridMultilevel"/>
    <w:tmpl w:val="B444018E"/>
    <w:lvl w:ilvl="0" w:tplc="57769EFC">
      <w:start w:val="1"/>
      <w:numFmt w:val="bullet"/>
      <w:lvlText w:val=""/>
      <w:lvlJc w:val="left"/>
      <w:pPr>
        <w:tabs>
          <w:tab w:val="num" w:pos="720"/>
        </w:tabs>
        <w:ind w:left="720" w:hanging="360"/>
      </w:pPr>
      <w:rPr>
        <w:rFonts w:ascii="Wingdings" w:hAnsi="Wingdings" w:hint="default"/>
        <w:sz w:val="24"/>
      </w:rPr>
    </w:lvl>
    <w:lvl w:ilvl="1" w:tplc="D3448450">
      <w:start w:val="3"/>
      <w:numFmt w:val="decimal"/>
      <w:lvlText w:val="4.4.%2."/>
      <w:lvlJc w:val="left"/>
      <w:pPr>
        <w:tabs>
          <w:tab w:val="num" w:pos="1080"/>
        </w:tabs>
        <w:ind w:left="1080"/>
      </w:pPr>
      <w:rPr>
        <w:rFonts w:ascii="Times New Roman" w:hAnsi="Times New Roman" w:cs="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F25DAA"/>
    <w:multiLevelType w:val="hybridMultilevel"/>
    <w:tmpl w:val="07D4CF02"/>
    <w:lvl w:ilvl="0" w:tplc="763A3186">
      <w:start w:val="2"/>
      <w:numFmt w:val="decimal"/>
      <w:lvlText w:val="5.%1."/>
      <w:lvlJc w:val="left"/>
      <w:pPr>
        <w:tabs>
          <w:tab w:val="num" w:pos="0"/>
        </w:tabs>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D8807A0"/>
    <w:multiLevelType w:val="hybridMultilevel"/>
    <w:tmpl w:val="6FC2F8AA"/>
    <w:lvl w:ilvl="0" w:tplc="FFFFFFFF">
      <w:numFmt w:val="bullet"/>
      <w:lvlText w:val=""/>
      <w:legacy w:legacy="1" w:legacySpace="0" w:legacyIndent="360"/>
      <w:lvlJc w:val="left"/>
      <w:pPr>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nsid w:val="30171C85"/>
    <w:multiLevelType w:val="hybridMultilevel"/>
    <w:tmpl w:val="46AED9D6"/>
    <w:lvl w:ilvl="0" w:tplc="04020001">
      <w:start w:val="1"/>
      <w:numFmt w:val="bullet"/>
      <w:lvlText w:val=""/>
      <w:lvlJc w:val="left"/>
      <w:pPr>
        <w:ind w:left="720" w:hanging="360"/>
      </w:pPr>
      <w:rPr>
        <w:rFonts w:ascii="Symbol" w:hAnsi="Symbol" w:hint="default"/>
      </w:rPr>
    </w:lvl>
    <w:lvl w:ilvl="1" w:tplc="5650CF60">
      <w:numFmt w:val="bullet"/>
      <w:lvlText w:val="-"/>
      <w:lvlJc w:val="left"/>
      <w:pPr>
        <w:ind w:left="1440" w:hanging="360"/>
      </w:pPr>
      <w:rPr>
        <w:rFonts w:ascii="Times New Roman" w:eastAsia="Times New Roman" w:hAnsi="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30EA4C76"/>
    <w:multiLevelType w:val="hybridMultilevel"/>
    <w:tmpl w:val="0426852E"/>
    <w:lvl w:ilvl="0" w:tplc="74405838">
      <w:start w:val="2"/>
      <w:numFmt w:val="decimal"/>
      <w:lvlText w:val="4.6.%1."/>
      <w:lvlJc w:val="left"/>
      <w:pPr>
        <w:tabs>
          <w:tab w:val="num" w:pos="1080"/>
        </w:tabs>
        <w:ind w:left="108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4653B12"/>
    <w:multiLevelType w:val="hybridMultilevel"/>
    <w:tmpl w:val="E5DCD708"/>
    <w:lvl w:ilvl="0" w:tplc="57769EF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50D72C4"/>
    <w:multiLevelType w:val="hybridMultilevel"/>
    <w:tmpl w:val="D2B27868"/>
    <w:lvl w:ilvl="0" w:tplc="57769EFC">
      <w:start w:val="1"/>
      <w:numFmt w:val="bullet"/>
      <w:lvlText w:val=""/>
      <w:lvlJc w:val="left"/>
      <w:pPr>
        <w:tabs>
          <w:tab w:val="num" w:pos="720"/>
        </w:tabs>
        <w:ind w:left="720" w:hanging="360"/>
      </w:pPr>
      <w:rPr>
        <w:rFonts w:ascii="Wingdings" w:hAnsi="Wingdings" w:hint="default"/>
        <w:sz w:val="24"/>
      </w:rPr>
    </w:lvl>
    <w:lvl w:ilvl="1" w:tplc="B8F05692">
      <w:start w:val="3"/>
      <w:numFmt w:val="decimal"/>
      <w:lvlText w:val="2.%2."/>
      <w:lvlJc w:val="left"/>
      <w:pPr>
        <w:tabs>
          <w:tab w:val="num" w:pos="0"/>
        </w:tabs>
      </w:pPr>
      <w:rPr>
        <w:rFonts w:ascii="Times New Roman" w:hAnsi="Times New Roman" w:cs="Times New Roman"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9531DA"/>
    <w:multiLevelType w:val="hybridMultilevel"/>
    <w:tmpl w:val="711A652E"/>
    <w:lvl w:ilvl="0" w:tplc="04020001">
      <w:start w:val="1"/>
      <w:numFmt w:val="bullet"/>
      <w:lvlText w:val=""/>
      <w:lvlJc w:val="left"/>
      <w:pPr>
        <w:tabs>
          <w:tab w:val="num" w:pos="1428"/>
        </w:tabs>
        <w:ind w:left="1428" w:hanging="360"/>
      </w:pPr>
      <w:rPr>
        <w:rFonts w:ascii="Symbol" w:hAnsi="Symbol" w:hint="default"/>
        <w:sz w:val="24"/>
      </w:rPr>
    </w:lvl>
    <w:lvl w:ilvl="1" w:tplc="60E00114">
      <w:start w:val="1"/>
      <w:numFmt w:val="decimal"/>
      <w:lvlText w:val="4.2.%2."/>
      <w:lvlJc w:val="left"/>
      <w:pPr>
        <w:tabs>
          <w:tab w:val="num" w:pos="1080"/>
        </w:tabs>
        <w:ind w:left="1080"/>
      </w:pPr>
      <w:rPr>
        <w:rFonts w:ascii="Times New Roman" w:hAnsi="Times New Roman" w:cs="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5D3D3F"/>
    <w:multiLevelType w:val="hybridMultilevel"/>
    <w:tmpl w:val="45A4110C"/>
    <w:lvl w:ilvl="0" w:tplc="208882FC">
      <w:start w:val="4"/>
      <w:numFmt w:val="decimal"/>
      <w:lvlText w:val="2.%1."/>
      <w:lvlJc w:val="left"/>
      <w:pPr>
        <w:tabs>
          <w:tab w:val="num" w:pos="1080"/>
        </w:tabs>
        <w:ind w:left="108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3572E2C"/>
    <w:multiLevelType w:val="hybridMultilevel"/>
    <w:tmpl w:val="D282406A"/>
    <w:lvl w:ilvl="0" w:tplc="57769EFC">
      <w:start w:val="1"/>
      <w:numFmt w:val="bullet"/>
      <w:lvlText w:val=""/>
      <w:lvlJc w:val="left"/>
      <w:pPr>
        <w:tabs>
          <w:tab w:val="num" w:pos="720"/>
        </w:tabs>
        <w:ind w:left="720" w:hanging="360"/>
      </w:pPr>
      <w:rPr>
        <w:rFonts w:ascii="Wingdings" w:hAnsi="Wingdings" w:hint="default"/>
        <w:sz w:val="24"/>
      </w:rPr>
    </w:lvl>
    <w:lvl w:ilvl="1" w:tplc="2E8ADB2C">
      <w:start w:val="5"/>
      <w:numFmt w:val="decimal"/>
      <w:lvlText w:val="3.%2."/>
      <w:lvlJc w:val="left"/>
      <w:pPr>
        <w:tabs>
          <w:tab w:val="num" w:pos="1080"/>
        </w:tabs>
        <w:ind w:left="1080"/>
      </w:pPr>
      <w:rPr>
        <w:rFonts w:ascii="Times New Roman" w:hAnsi="Times New Roman" w:cs="Times New Roman"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761674"/>
    <w:multiLevelType w:val="hybridMultilevel"/>
    <w:tmpl w:val="2D043E34"/>
    <w:lvl w:ilvl="0" w:tplc="D9F62A44">
      <w:start w:val="8"/>
      <w:numFmt w:val="decimal"/>
      <w:lvlText w:val="4.1.%1."/>
      <w:lvlJc w:val="left"/>
      <w:pPr>
        <w:tabs>
          <w:tab w:val="num" w:pos="360"/>
        </w:tabs>
        <w:ind w:left="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5551E01"/>
    <w:multiLevelType w:val="hybridMultilevel"/>
    <w:tmpl w:val="9D9E2F04"/>
    <w:lvl w:ilvl="0" w:tplc="F99C56FA">
      <w:start w:val="9"/>
      <w:numFmt w:val="decimal"/>
      <w:lvlText w:val="3.%1."/>
      <w:lvlJc w:val="left"/>
      <w:pPr>
        <w:tabs>
          <w:tab w:val="num" w:pos="1080"/>
        </w:tabs>
        <w:ind w:left="108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9D82491"/>
    <w:multiLevelType w:val="hybridMultilevel"/>
    <w:tmpl w:val="FCD645F4"/>
    <w:lvl w:ilvl="0" w:tplc="68C856AA">
      <w:start w:val="11"/>
      <w:numFmt w:val="decimal"/>
      <w:lvlText w:val="3.%1."/>
      <w:lvlJc w:val="left"/>
      <w:pPr>
        <w:tabs>
          <w:tab w:val="num" w:pos="1080"/>
        </w:tabs>
        <w:ind w:left="108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B2A5A3F"/>
    <w:multiLevelType w:val="hybridMultilevel"/>
    <w:tmpl w:val="7DE2B19E"/>
    <w:lvl w:ilvl="0" w:tplc="8FE83460">
      <w:start w:val="1"/>
      <w:numFmt w:val="bullet"/>
      <w:lvlText w:val=""/>
      <w:lvlJc w:val="left"/>
      <w:pPr>
        <w:tabs>
          <w:tab w:val="num" w:pos="113"/>
        </w:tabs>
        <w:ind w:left="284" w:hanging="284"/>
      </w:pPr>
      <w:rPr>
        <w:rFonts w:ascii="Wingdings" w:hAnsi="Wingdings" w:hint="default"/>
      </w:rPr>
    </w:lvl>
    <w:lvl w:ilvl="1" w:tplc="04020019" w:tentative="1">
      <w:start w:val="1"/>
      <w:numFmt w:val="lowerLetter"/>
      <w:lvlText w:val="%2."/>
      <w:lvlJc w:val="left"/>
      <w:pPr>
        <w:tabs>
          <w:tab w:val="num" w:pos="1080"/>
        </w:tabs>
        <w:ind w:left="1080" w:hanging="360"/>
      </w:pPr>
      <w:rPr>
        <w:rFonts w:cs="Times New Roman"/>
      </w:rPr>
    </w:lvl>
    <w:lvl w:ilvl="2" w:tplc="0402001B" w:tentative="1">
      <w:start w:val="1"/>
      <w:numFmt w:val="lowerRoman"/>
      <w:lvlText w:val="%3."/>
      <w:lvlJc w:val="right"/>
      <w:pPr>
        <w:tabs>
          <w:tab w:val="num" w:pos="1800"/>
        </w:tabs>
        <w:ind w:left="1800" w:hanging="180"/>
      </w:pPr>
      <w:rPr>
        <w:rFonts w:cs="Times New Roman"/>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32">
    <w:nsid w:val="4D480B38"/>
    <w:multiLevelType w:val="hybridMultilevel"/>
    <w:tmpl w:val="3B6AB290"/>
    <w:lvl w:ilvl="0" w:tplc="CF0EF3AE">
      <w:start w:val="1"/>
      <w:numFmt w:val="decimal"/>
      <w:lvlText w:val="4.4.%1."/>
      <w:lvlJc w:val="left"/>
      <w:pPr>
        <w:tabs>
          <w:tab w:val="num" w:pos="1980"/>
        </w:tabs>
        <w:ind w:left="198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D9F07C4"/>
    <w:multiLevelType w:val="hybridMultilevel"/>
    <w:tmpl w:val="416E74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4DB44761"/>
    <w:multiLevelType w:val="hybridMultilevel"/>
    <w:tmpl w:val="3D8CB154"/>
    <w:lvl w:ilvl="0" w:tplc="F0A0B1C2">
      <w:start w:val="1"/>
      <w:numFmt w:val="decimal"/>
      <w:lvlText w:val="3.3.%1."/>
      <w:lvlJc w:val="left"/>
      <w:pPr>
        <w:tabs>
          <w:tab w:val="num" w:pos="1080"/>
        </w:tabs>
        <w:ind w:left="1080"/>
      </w:pPr>
      <w:rPr>
        <w:rFonts w:ascii="Times New Roman" w:hAnsi="Times New Roman"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5">
    <w:nsid w:val="510B5B66"/>
    <w:multiLevelType w:val="hybridMultilevel"/>
    <w:tmpl w:val="4106E7F0"/>
    <w:lvl w:ilvl="0" w:tplc="8EA86ECC">
      <w:start w:val="1"/>
      <w:numFmt w:val="decimal"/>
      <w:lvlText w:val="2.3.%1."/>
      <w:lvlJc w:val="left"/>
      <w:pPr>
        <w:tabs>
          <w:tab w:val="num" w:pos="1080"/>
        </w:tabs>
        <w:ind w:left="108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2635D75"/>
    <w:multiLevelType w:val="hybridMultilevel"/>
    <w:tmpl w:val="8A1CDC0E"/>
    <w:lvl w:ilvl="0" w:tplc="57769EFC">
      <w:start w:val="1"/>
      <w:numFmt w:val="bullet"/>
      <w:lvlText w:val=""/>
      <w:lvlJc w:val="left"/>
      <w:pPr>
        <w:tabs>
          <w:tab w:val="num" w:pos="1622"/>
        </w:tabs>
        <w:ind w:left="1622" w:hanging="360"/>
      </w:pPr>
      <w:rPr>
        <w:rFonts w:ascii="Wingdings" w:hAnsi="Wingdings" w:hint="default"/>
        <w:sz w:val="24"/>
      </w:rPr>
    </w:lvl>
    <w:lvl w:ilvl="1" w:tplc="C58C3D08">
      <w:start w:val="1"/>
      <w:numFmt w:val="decimal"/>
      <w:lvlText w:val="1.%2."/>
      <w:lvlJc w:val="left"/>
      <w:pPr>
        <w:tabs>
          <w:tab w:val="num" w:pos="2342"/>
        </w:tabs>
        <w:ind w:left="2342" w:hanging="360"/>
      </w:pPr>
      <w:rPr>
        <w:rFonts w:ascii="Times New Roman" w:hAnsi="Times New Roman" w:cs="Times New Roman" w:hint="default"/>
        <w:b w:val="0"/>
        <w:i w:val="0"/>
        <w:sz w:val="24"/>
        <w:szCs w:val="24"/>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37">
    <w:nsid w:val="576512E7"/>
    <w:multiLevelType w:val="hybridMultilevel"/>
    <w:tmpl w:val="B0949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4F12EB"/>
    <w:multiLevelType w:val="hybridMultilevel"/>
    <w:tmpl w:val="43F2F300"/>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9">
    <w:nsid w:val="5B9F23EA"/>
    <w:multiLevelType w:val="hybridMultilevel"/>
    <w:tmpl w:val="B22E155E"/>
    <w:lvl w:ilvl="0" w:tplc="C408EDAA">
      <w:numFmt w:val="bullet"/>
      <w:lvlText w:val="-"/>
      <w:lvlJc w:val="left"/>
      <w:pPr>
        <w:tabs>
          <w:tab w:val="num" w:pos="720"/>
        </w:tabs>
        <w:ind w:left="720" w:hanging="360"/>
      </w:pPr>
      <w:rPr>
        <w:rFonts w:hint="default"/>
        <w:sz w:val="24"/>
      </w:rPr>
    </w:lvl>
    <w:lvl w:ilvl="1" w:tplc="DDA49090">
      <w:start w:val="6"/>
      <w:numFmt w:val="decimal"/>
      <w:lvlText w:val="4.1.%2."/>
      <w:lvlJc w:val="left"/>
      <w:pPr>
        <w:tabs>
          <w:tab w:val="num" w:pos="1080"/>
        </w:tabs>
        <w:ind w:left="1080"/>
      </w:pPr>
      <w:rPr>
        <w:rFonts w:ascii="Times New Roman" w:hAnsi="Times New Roman" w:cs="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C586ABA"/>
    <w:multiLevelType w:val="hybridMultilevel"/>
    <w:tmpl w:val="DD0A752C"/>
    <w:lvl w:ilvl="0" w:tplc="57769EFC">
      <w:start w:val="1"/>
      <w:numFmt w:val="bullet"/>
      <w:lvlText w:val=""/>
      <w:lvlJc w:val="left"/>
      <w:pPr>
        <w:tabs>
          <w:tab w:val="num" w:pos="720"/>
        </w:tabs>
        <w:ind w:left="720" w:hanging="360"/>
      </w:pPr>
      <w:rPr>
        <w:rFonts w:ascii="Wingdings" w:hAnsi="Wingdings" w:hint="default"/>
        <w:sz w:val="24"/>
      </w:rPr>
    </w:lvl>
    <w:lvl w:ilvl="1" w:tplc="4D46EDD2">
      <w:start w:val="1"/>
      <w:numFmt w:val="decimal"/>
      <w:lvlText w:val="4.3.%2."/>
      <w:lvlJc w:val="left"/>
      <w:pPr>
        <w:tabs>
          <w:tab w:val="num" w:pos="1080"/>
        </w:tabs>
        <w:ind w:left="1080"/>
      </w:pPr>
      <w:rPr>
        <w:rFonts w:ascii="Times New Roman" w:hAnsi="Times New Roman" w:cs="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28966C5"/>
    <w:multiLevelType w:val="hybridMultilevel"/>
    <w:tmpl w:val="9364E73A"/>
    <w:lvl w:ilvl="0" w:tplc="57769EFC">
      <w:start w:val="1"/>
      <w:numFmt w:val="bullet"/>
      <w:lvlText w:val=""/>
      <w:lvlJc w:val="left"/>
      <w:pPr>
        <w:tabs>
          <w:tab w:val="num" w:pos="780"/>
        </w:tabs>
        <w:ind w:left="780" w:hanging="360"/>
      </w:pPr>
      <w:rPr>
        <w:rFonts w:ascii="Wingdings" w:hAnsi="Wingdings" w:hint="default"/>
        <w:sz w:val="24"/>
      </w:rPr>
    </w:lvl>
    <w:lvl w:ilvl="1" w:tplc="6E56525A">
      <w:start w:val="1"/>
      <w:numFmt w:val="decimal"/>
      <w:lvlText w:val="4.6.%2."/>
      <w:lvlJc w:val="left"/>
      <w:pPr>
        <w:tabs>
          <w:tab w:val="num" w:pos="1140"/>
        </w:tabs>
        <w:ind w:left="1140"/>
      </w:pPr>
      <w:rPr>
        <w:rFonts w:ascii="Times New Roman" w:hAnsi="Times New Roman" w:cs="Times New Roman" w:hint="default"/>
        <w:b w:val="0"/>
        <w:i w:val="0"/>
        <w:sz w:val="24"/>
        <w:szCs w:val="24"/>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68055FA0"/>
    <w:multiLevelType w:val="hybridMultilevel"/>
    <w:tmpl w:val="188CF466"/>
    <w:lvl w:ilvl="0" w:tplc="24C4FBE4">
      <w:start w:val="3"/>
      <w:numFmt w:val="bullet"/>
      <w:lvlText w:val="-"/>
      <w:lvlJc w:val="left"/>
      <w:pPr>
        <w:tabs>
          <w:tab w:val="num" w:pos="720"/>
        </w:tabs>
        <w:ind w:left="720" w:hanging="360"/>
      </w:pPr>
      <w:rPr>
        <w:rFonts w:ascii="Times New Roman" w:eastAsia="Times New Roman" w:hAnsi="Times New Roman" w:hint="default"/>
      </w:rPr>
    </w:lvl>
    <w:lvl w:ilvl="1" w:tplc="F99C56FA">
      <w:start w:val="9"/>
      <w:numFmt w:val="decimal"/>
      <w:lvlText w:val="3.%2."/>
      <w:lvlJc w:val="left"/>
      <w:pPr>
        <w:tabs>
          <w:tab w:val="num" w:pos="1080"/>
        </w:tabs>
        <w:ind w:left="108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923226F"/>
    <w:multiLevelType w:val="multilevel"/>
    <w:tmpl w:val="99B6453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nsid w:val="6D7F6ECA"/>
    <w:multiLevelType w:val="hybridMultilevel"/>
    <w:tmpl w:val="F0C8E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E7F4CC0"/>
    <w:multiLevelType w:val="hybridMultilevel"/>
    <w:tmpl w:val="633C6C00"/>
    <w:lvl w:ilvl="0" w:tplc="ADE2243A">
      <w:start w:val="1"/>
      <w:numFmt w:val="decimal"/>
      <w:lvlText w:val="5.%1."/>
      <w:lvlJc w:val="left"/>
      <w:pPr>
        <w:tabs>
          <w:tab w:val="num" w:pos="0"/>
        </w:tabs>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6EAF70E4"/>
    <w:multiLevelType w:val="hybridMultilevel"/>
    <w:tmpl w:val="900A729E"/>
    <w:lvl w:ilvl="0" w:tplc="57769EFC">
      <w:start w:val="1"/>
      <w:numFmt w:val="bullet"/>
      <w:lvlText w:val=""/>
      <w:lvlJc w:val="left"/>
      <w:pPr>
        <w:tabs>
          <w:tab w:val="num" w:pos="720"/>
        </w:tabs>
        <w:ind w:left="720" w:hanging="360"/>
      </w:pPr>
      <w:rPr>
        <w:rFonts w:ascii="Wingdings" w:hAnsi="Wingdings" w:hint="default"/>
        <w:sz w:val="24"/>
      </w:rPr>
    </w:lvl>
    <w:lvl w:ilvl="1" w:tplc="F266FE30">
      <w:start w:val="7"/>
      <w:numFmt w:val="decimal"/>
      <w:lvlText w:val="4.1.%2."/>
      <w:lvlJc w:val="left"/>
      <w:pPr>
        <w:tabs>
          <w:tab w:val="num" w:pos="1080"/>
        </w:tabs>
        <w:ind w:left="1080"/>
      </w:pPr>
      <w:rPr>
        <w:rFonts w:ascii="Times New Roman" w:hAnsi="Times New Roman" w:cs="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432713A"/>
    <w:multiLevelType w:val="hybridMultilevel"/>
    <w:tmpl w:val="F6748938"/>
    <w:lvl w:ilvl="0" w:tplc="C180CEFE">
      <w:start w:val="1"/>
      <w:numFmt w:val="decimal"/>
      <w:lvlText w:val="2.%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AD04646"/>
    <w:multiLevelType w:val="hybridMultilevel"/>
    <w:tmpl w:val="37BECFD2"/>
    <w:lvl w:ilvl="0" w:tplc="3E908E1C">
      <w:start w:val="5"/>
      <w:numFmt w:val="decimal"/>
      <w:lvlText w:val="4.1.%1."/>
      <w:lvlJc w:val="left"/>
      <w:pPr>
        <w:tabs>
          <w:tab w:val="num" w:pos="1080"/>
        </w:tabs>
        <w:ind w:left="108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7B897F3F"/>
    <w:multiLevelType w:val="hybridMultilevel"/>
    <w:tmpl w:val="BD1C7A76"/>
    <w:lvl w:ilvl="0" w:tplc="04020001">
      <w:start w:val="1"/>
      <w:numFmt w:val="bullet"/>
      <w:lvlText w:val=""/>
      <w:lvlJc w:val="left"/>
      <w:pPr>
        <w:ind w:left="765" w:hanging="360"/>
      </w:pPr>
      <w:rPr>
        <w:rFonts w:ascii="Symbol" w:hAnsi="Symbol" w:hint="default"/>
      </w:rPr>
    </w:lvl>
    <w:lvl w:ilvl="1" w:tplc="04020003" w:tentative="1">
      <w:start w:val="1"/>
      <w:numFmt w:val="bullet"/>
      <w:lvlText w:val="o"/>
      <w:lvlJc w:val="left"/>
      <w:pPr>
        <w:ind w:left="1485" w:hanging="360"/>
      </w:pPr>
      <w:rPr>
        <w:rFonts w:ascii="Courier New" w:hAnsi="Courier New" w:hint="default"/>
      </w:rPr>
    </w:lvl>
    <w:lvl w:ilvl="2" w:tplc="04020005" w:tentative="1">
      <w:start w:val="1"/>
      <w:numFmt w:val="bullet"/>
      <w:lvlText w:val=""/>
      <w:lvlJc w:val="left"/>
      <w:pPr>
        <w:ind w:left="2205" w:hanging="360"/>
      </w:pPr>
      <w:rPr>
        <w:rFonts w:ascii="Wingdings" w:hAnsi="Wingdings" w:hint="default"/>
      </w:rPr>
    </w:lvl>
    <w:lvl w:ilvl="3" w:tplc="04020001" w:tentative="1">
      <w:start w:val="1"/>
      <w:numFmt w:val="bullet"/>
      <w:lvlText w:val=""/>
      <w:lvlJc w:val="left"/>
      <w:pPr>
        <w:ind w:left="2925" w:hanging="360"/>
      </w:pPr>
      <w:rPr>
        <w:rFonts w:ascii="Symbol" w:hAnsi="Symbol" w:hint="default"/>
      </w:rPr>
    </w:lvl>
    <w:lvl w:ilvl="4" w:tplc="04020003" w:tentative="1">
      <w:start w:val="1"/>
      <w:numFmt w:val="bullet"/>
      <w:lvlText w:val="o"/>
      <w:lvlJc w:val="left"/>
      <w:pPr>
        <w:ind w:left="3645" w:hanging="360"/>
      </w:pPr>
      <w:rPr>
        <w:rFonts w:ascii="Courier New" w:hAnsi="Courier New" w:hint="default"/>
      </w:rPr>
    </w:lvl>
    <w:lvl w:ilvl="5" w:tplc="04020005" w:tentative="1">
      <w:start w:val="1"/>
      <w:numFmt w:val="bullet"/>
      <w:lvlText w:val=""/>
      <w:lvlJc w:val="left"/>
      <w:pPr>
        <w:ind w:left="4365" w:hanging="360"/>
      </w:pPr>
      <w:rPr>
        <w:rFonts w:ascii="Wingdings" w:hAnsi="Wingdings" w:hint="default"/>
      </w:rPr>
    </w:lvl>
    <w:lvl w:ilvl="6" w:tplc="04020001" w:tentative="1">
      <w:start w:val="1"/>
      <w:numFmt w:val="bullet"/>
      <w:lvlText w:val=""/>
      <w:lvlJc w:val="left"/>
      <w:pPr>
        <w:ind w:left="5085" w:hanging="360"/>
      </w:pPr>
      <w:rPr>
        <w:rFonts w:ascii="Symbol" w:hAnsi="Symbol" w:hint="default"/>
      </w:rPr>
    </w:lvl>
    <w:lvl w:ilvl="7" w:tplc="04020003" w:tentative="1">
      <w:start w:val="1"/>
      <w:numFmt w:val="bullet"/>
      <w:lvlText w:val="o"/>
      <w:lvlJc w:val="left"/>
      <w:pPr>
        <w:ind w:left="5805" w:hanging="360"/>
      </w:pPr>
      <w:rPr>
        <w:rFonts w:ascii="Courier New" w:hAnsi="Courier New" w:hint="default"/>
      </w:rPr>
    </w:lvl>
    <w:lvl w:ilvl="8" w:tplc="04020005" w:tentative="1">
      <w:start w:val="1"/>
      <w:numFmt w:val="bullet"/>
      <w:lvlText w:val=""/>
      <w:lvlJc w:val="left"/>
      <w:pPr>
        <w:ind w:left="6525" w:hanging="360"/>
      </w:pPr>
      <w:rPr>
        <w:rFonts w:ascii="Wingdings" w:hAnsi="Wingdings" w:hint="default"/>
      </w:rPr>
    </w:lvl>
  </w:abstractNum>
  <w:num w:numId="1">
    <w:abstractNumId w:val="2"/>
  </w:num>
  <w:num w:numId="2">
    <w:abstractNumId w:val="27"/>
  </w:num>
  <w:num w:numId="3">
    <w:abstractNumId w:val="42"/>
  </w:num>
  <w:num w:numId="4">
    <w:abstractNumId w:val="36"/>
  </w:num>
  <w:num w:numId="5">
    <w:abstractNumId w:val="24"/>
  </w:num>
  <w:num w:numId="6">
    <w:abstractNumId w:val="8"/>
  </w:num>
  <w:num w:numId="7">
    <w:abstractNumId w:val="4"/>
  </w:num>
  <w:num w:numId="8">
    <w:abstractNumId w:val="11"/>
  </w:num>
  <w:num w:numId="9">
    <w:abstractNumId w:val="10"/>
  </w:num>
  <w:num w:numId="10">
    <w:abstractNumId w:val="17"/>
  </w:num>
  <w:num w:numId="11">
    <w:abstractNumId w:val="14"/>
  </w:num>
  <w:num w:numId="12">
    <w:abstractNumId w:val="40"/>
  </w:num>
  <w:num w:numId="13">
    <w:abstractNumId w:val="18"/>
  </w:num>
  <w:num w:numId="14">
    <w:abstractNumId w:val="41"/>
  </w:num>
  <w:num w:numId="15">
    <w:abstractNumId w:val="23"/>
  </w:num>
  <w:num w:numId="16">
    <w:abstractNumId w:val="46"/>
  </w:num>
  <w:num w:numId="17">
    <w:abstractNumId w:val="39"/>
  </w:num>
  <w:num w:numId="18">
    <w:abstractNumId w:val="5"/>
  </w:num>
  <w:num w:numId="19">
    <w:abstractNumId w:val="47"/>
  </w:num>
  <w:num w:numId="20">
    <w:abstractNumId w:val="35"/>
  </w:num>
  <w:num w:numId="21">
    <w:abstractNumId w:val="26"/>
  </w:num>
  <w:num w:numId="22">
    <w:abstractNumId w:val="15"/>
  </w:num>
  <w:num w:numId="23">
    <w:abstractNumId w:val="29"/>
  </w:num>
  <w:num w:numId="24">
    <w:abstractNumId w:val="30"/>
  </w:num>
  <w:num w:numId="25">
    <w:abstractNumId w:val="6"/>
  </w:num>
  <w:num w:numId="26">
    <w:abstractNumId w:val="1"/>
  </w:num>
  <w:num w:numId="27">
    <w:abstractNumId w:val="7"/>
  </w:num>
  <w:num w:numId="28">
    <w:abstractNumId w:val="32"/>
  </w:num>
  <w:num w:numId="29">
    <w:abstractNumId w:val="3"/>
  </w:num>
  <w:num w:numId="30">
    <w:abstractNumId w:val="22"/>
  </w:num>
  <w:num w:numId="31">
    <w:abstractNumId w:val="45"/>
  </w:num>
  <w:num w:numId="32">
    <w:abstractNumId w:val="34"/>
  </w:num>
  <w:num w:numId="33">
    <w:abstractNumId w:val="9"/>
  </w:num>
  <w:num w:numId="34">
    <w:abstractNumId w:val="19"/>
  </w:num>
  <w:num w:numId="35">
    <w:abstractNumId w:val="48"/>
  </w:num>
  <w:num w:numId="36">
    <w:abstractNumId w:val="28"/>
  </w:num>
  <w:num w:numId="37">
    <w:abstractNumId w:val="13"/>
  </w:num>
  <w:num w:numId="38">
    <w:abstractNumId w:val="16"/>
  </w:num>
  <w:num w:numId="39">
    <w:abstractNumId w:val="31"/>
  </w:num>
  <w:num w:numId="40">
    <w:abstractNumId w:val="43"/>
  </w:num>
  <w:num w:numId="41">
    <w:abstractNumId w:val="0"/>
  </w:num>
  <w:num w:numId="42">
    <w:abstractNumId w:val="20"/>
  </w:num>
  <w:num w:numId="43">
    <w:abstractNumId w:val="49"/>
  </w:num>
  <w:num w:numId="44">
    <w:abstractNumId w:val="33"/>
  </w:num>
  <w:num w:numId="45">
    <w:abstractNumId w:val="25"/>
  </w:num>
  <w:num w:numId="46">
    <w:abstractNumId w:val="38"/>
  </w:num>
  <w:num w:numId="47">
    <w:abstractNumId w:val="44"/>
  </w:num>
  <w:num w:numId="48">
    <w:abstractNumId w:val="37"/>
  </w:num>
  <w:num w:numId="49">
    <w:abstractNumId w:val="12"/>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7DD5"/>
    <w:rsid w:val="000012EE"/>
    <w:rsid w:val="00007005"/>
    <w:rsid w:val="00037ED5"/>
    <w:rsid w:val="000530A6"/>
    <w:rsid w:val="000760F4"/>
    <w:rsid w:val="000D38D4"/>
    <w:rsid w:val="000F6799"/>
    <w:rsid w:val="0010378C"/>
    <w:rsid w:val="00133554"/>
    <w:rsid w:val="00135DEB"/>
    <w:rsid w:val="00141D10"/>
    <w:rsid w:val="0018774A"/>
    <w:rsid w:val="001C3A0A"/>
    <w:rsid w:val="002156F2"/>
    <w:rsid w:val="002419A9"/>
    <w:rsid w:val="00257EBF"/>
    <w:rsid w:val="00294523"/>
    <w:rsid w:val="002A5FAD"/>
    <w:rsid w:val="002C0F56"/>
    <w:rsid w:val="002D4412"/>
    <w:rsid w:val="002D7BDD"/>
    <w:rsid w:val="00314E63"/>
    <w:rsid w:val="00331FC0"/>
    <w:rsid w:val="00333ECC"/>
    <w:rsid w:val="003636F2"/>
    <w:rsid w:val="00367629"/>
    <w:rsid w:val="003B4E80"/>
    <w:rsid w:val="003B6916"/>
    <w:rsid w:val="003D7258"/>
    <w:rsid w:val="003E423F"/>
    <w:rsid w:val="00415701"/>
    <w:rsid w:val="004161E4"/>
    <w:rsid w:val="004321A5"/>
    <w:rsid w:val="00481089"/>
    <w:rsid w:val="004830D9"/>
    <w:rsid w:val="004952FC"/>
    <w:rsid w:val="004A075E"/>
    <w:rsid w:val="004A1339"/>
    <w:rsid w:val="00510BB0"/>
    <w:rsid w:val="00560326"/>
    <w:rsid w:val="00593ABC"/>
    <w:rsid w:val="0064392B"/>
    <w:rsid w:val="00662A4E"/>
    <w:rsid w:val="0068485B"/>
    <w:rsid w:val="00695281"/>
    <w:rsid w:val="006D000A"/>
    <w:rsid w:val="00742288"/>
    <w:rsid w:val="00756A5D"/>
    <w:rsid w:val="007652AD"/>
    <w:rsid w:val="0077582E"/>
    <w:rsid w:val="00786752"/>
    <w:rsid w:val="00794118"/>
    <w:rsid w:val="007A1625"/>
    <w:rsid w:val="007C2414"/>
    <w:rsid w:val="007D7AFA"/>
    <w:rsid w:val="00805706"/>
    <w:rsid w:val="00812BE4"/>
    <w:rsid w:val="00855D3B"/>
    <w:rsid w:val="008B3DFF"/>
    <w:rsid w:val="008D444F"/>
    <w:rsid w:val="008E4949"/>
    <w:rsid w:val="0090661F"/>
    <w:rsid w:val="00915256"/>
    <w:rsid w:val="00932442"/>
    <w:rsid w:val="00941F89"/>
    <w:rsid w:val="00950797"/>
    <w:rsid w:val="00954168"/>
    <w:rsid w:val="009618F4"/>
    <w:rsid w:val="009A338B"/>
    <w:rsid w:val="009C1831"/>
    <w:rsid w:val="009C45DF"/>
    <w:rsid w:val="009D063D"/>
    <w:rsid w:val="009D4430"/>
    <w:rsid w:val="009E283B"/>
    <w:rsid w:val="00A15140"/>
    <w:rsid w:val="00A62131"/>
    <w:rsid w:val="00A67DD5"/>
    <w:rsid w:val="00A87557"/>
    <w:rsid w:val="00AB0747"/>
    <w:rsid w:val="00AC244C"/>
    <w:rsid w:val="00B00631"/>
    <w:rsid w:val="00B403BB"/>
    <w:rsid w:val="00B4786B"/>
    <w:rsid w:val="00B912D4"/>
    <w:rsid w:val="00BA07B8"/>
    <w:rsid w:val="00BD5A69"/>
    <w:rsid w:val="00C145DE"/>
    <w:rsid w:val="00C43A76"/>
    <w:rsid w:val="00C853FE"/>
    <w:rsid w:val="00CC1BD3"/>
    <w:rsid w:val="00CC23CB"/>
    <w:rsid w:val="00CE5ADC"/>
    <w:rsid w:val="00D211FF"/>
    <w:rsid w:val="00D61DDE"/>
    <w:rsid w:val="00D95D00"/>
    <w:rsid w:val="00DE0318"/>
    <w:rsid w:val="00DF0130"/>
    <w:rsid w:val="00DF15AD"/>
    <w:rsid w:val="00E75F98"/>
    <w:rsid w:val="00E8247A"/>
    <w:rsid w:val="00EA6824"/>
    <w:rsid w:val="00EA7201"/>
    <w:rsid w:val="00EB00C5"/>
    <w:rsid w:val="00F019E6"/>
    <w:rsid w:val="00F07634"/>
    <w:rsid w:val="00F40019"/>
    <w:rsid w:val="00F65B41"/>
    <w:rsid w:val="00F70536"/>
    <w:rsid w:val="00F7603C"/>
    <w:rsid w:val="00FE18B3"/>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442"/>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67D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7DD5"/>
    <w:rPr>
      <w:rFonts w:ascii="Tahoma" w:hAnsi="Tahoma" w:cs="Tahoma"/>
      <w:sz w:val="16"/>
      <w:szCs w:val="16"/>
    </w:rPr>
  </w:style>
  <w:style w:type="paragraph" w:styleId="ListParagraph">
    <w:name w:val="List Paragraph"/>
    <w:basedOn w:val="Normal"/>
    <w:uiPriority w:val="99"/>
    <w:qFormat/>
    <w:rsid w:val="00A67DD5"/>
    <w:pPr>
      <w:ind w:left="720"/>
      <w:contextualSpacing/>
    </w:pPr>
  </w:style>
  <w:style w:type="character" w:styleId="Hyperlink">
    <w:name w:val="Hyperlink"/>
    <w:basedOn w:val="DefaultParagraphFont"/>
    <w:uiPriority w:val="99"/>
    <w:rsid w:val="00A67DD5"/>
    <w:rPr>
      <w:rFonts w:cs="Times New Roman"/>
      <w:color w:val="0000FF"/>
      <w:u w:val="single"/>
    </w:rPr>
  </w:style>
  <w:style w:type="paragraph" w:styleId="FootnoteText">
    <w:name w:val="footnote text"/>
    <w:basedOn w:val="Normal"/>
    <w:link w:val="FootnoteTextChar"/>
    <w:uiPriority w:val="99"/>
    <w:semiHidden/>
    <w:rsid w:val="00E75F98"/>
    <w:rPr>
      <w:rFonts w:ascii="Times New Roman" w:eastAsia="Calibri" w:hAnsi="Times New Roman"/>
      <w:sz w:val="20"/>
      <w:szCs w:val="20"/>
      <w:lang w:val="en-US"/>
    </w:rPr>
  </w:style>
  <w:style w:type="character" w:customStyle="1" w:styleId="FootnoteTextChar">
    <w:name w:val="Footnote Text Char"/>
    <w:basedOn w:val="DefaultParagraphFont"/>
    <w:link w:val="FootnoteText"/>
    <w:uiPriority w:val="99"/>
    <w:semiHidden/>
    <w:locked/>
    <w:rsid w:val="00E75F98"/>
    <w:rPr>
      <w:rFonts w:ascii="Times New Roman" w:hAnsi="Times New Roman" w:cs="Times New Roman"/>
      <w:lang w:val="en-US" w:eastAsia="en-US"/>
    </w:rPr>
  </w:style>
  <w:style w:type="character" w:styleId="FootnoteReference">
    <w:name w:val="footnote reference"/>
    <w:basedOn w:val="DefaultParagraphFont"/>
    <w:uiPriority w:val="99"/>
    <w:semiHidden/>
    <w:rsid w:val="00E75F98"/>
    <w:rPr>
      <w:rFonts w:cs="Times New Roman"/>
      <w:vertAlign w:val="superscript"/>
    </w:rPr>
  </w:style>
  <w:style w:type="paragraph" w:customStyle="1" w:styleId="CharChar3">
    <w:name w:val="Char Char3"/>
    <w:basedOn w:val="Normal"/>
    <w:uiPriority w:val="99"/>
    <w:rsid w:val="00E75F98"/>
    <w:pPr>
      <w:spacing w:after="160" w:line="240" w:lineRule="exact"/>
    </w:pPr>
    <w:rPr>
      <w:rFonts w:ascii="Tahoma" w:eastAsia="Calibri" w:hAnsi="Tahoma"/>
      <w:sz w:val="20"/>
      <w:szCs w:val="20"/>
      <w:lang w:val="en-US"/>
    </w:rPr>
  </w:style>
  <w:style w:type="paragraph" w:styleId="BodyText">
    <w:name w:val="Body Text"/>
    <w:basedOn w:val="Normal"/>
    <w:link w:val="BodyTextChar"/>
    <w:uiPriority w:val="99"/>
    <w:rsid w:val="00E75F98"/>
    <w:pPr>
      <w:spacing w:line="360" w:lineRule="auto"/>
      <w:jc w:val="both"/>
    </w:pPr>
    <w:rPr>
      <w:rFonts w:ascii="Times New Roman" w:eastAsia="Calibri" w:hAnsi="Times New Roman"/>
      <w:sz w:val="24"/>
      <w:szCs w:val="24"/>
    </w:rPr>
  </w:style>
  <w:style w:type="character" w:customStyle="1" w:styleId="BodyTextChar">
    <w:name w:val="Body Text Char"/>
    <w:basedOn w:val="DefaultParagraphFont"/>
    <w:link w:val="BodyText"/>
    <w:uiPriority w:val="99"/>
    <w:locked/>
    <w:rsid w:val="00E75F98"/>
    <w:rPr>
      <w:rFonts w:ascii="Times New Roman" w:hAnsi="Times New Roman" w:cs="Times New Roman"/>
      <w:sz w:val="24"/>
      <w:szCs w:val="24"/>
      <w:lang w:eastAsia="en-US"/>
    </w:rPr>
  </w:style>
  <w:style w:type="paragraph" w:customStyle="1" w:styleId="N">
    <w:name w:val="N"/>
    <w:uiPriority w:val="99"/>
    <w:rsid w:val="00E75F98"/>
    <w:pPr>
      <w:spacing w:after="120" w:line="360" w:lineRule="auto"/>
      <w:ind w:firstLine="720"/>
      <w:jc w:val="both"/>
    </w:pPr>
    <w:rPr>
      <w:rFonts w:ascii="Times New Roman" w:hAnsi="Times New Roman"/>
      <w:sz w:val="24"/>
      <w:szCs w:val="20"/>
      <w:lang w:val="en-US" w:eastAsia="en-US"/>
    </w:rPr>
  </w:style>
  <w:style w:type="paragraph" w:styleId="BodyTextIndent2">
    <w:name w:val="Body Text Indent 2"/>
    <w:basedOn w:val="Normal"/>
    <w:link w:val="BodyTextIndent2Char"/>
    <w:uiPriority w:val="99"/>
    <w:rsid w:val="00E75F98"/>
    <w:pPr>
      <w:spacing w:after="120" w:line="480" w:lineRule="auto"/>
      <w:ind w:left="283"/>
    </w:pPr>
    <w:rPr>
      <w:rFonts w:ascii="Times New Roman" w:eastAsia="Calibri" w:hAnsi="Times New Roman"/>
      <w:sz w:val="24"/>
      <w:szCs w:val="24"/>
      <w:lang w:val="en-US"/>
    </w:rPr>
  </w:style>
  <w:style w:type="character" w:customStyle="1" w:styleId="BodyTextIndent2Char">
    <w:name w:val="Body Text Indent 2 Char"/>
    <w:basedOn w:val="DefaultParagraphFont"/>
    <w:link w:val="BodyTextIndent2"/>
    <w:uiPriority w:val="99"/>
    <w:locked/>
    <w:rsid w:val="00E75F98"/>
    <w:rPr>
      <w:rFonts w:ascii="Times New Roman" w:hAnsi="Times New Roman" w:cs="Times New Roman"/>
      <w:sz w:val="24"/>
      <w:szCs w:val="24"/>
      <w:lang w:val="en-US" w:eastAsia="en-US"/>
    </w:rPr>
  </w:style>
  <w:style w:type="paragraph" w:styleId="Header">
    <w:name w:val="header"/>
    <w:basedOn w:val="Normal"/>
    <w:link w:val="HeaderChar"/>
    <w:uiPriority w:val="99"/>
    <w:semiHidden/>
    <w:rsid w:val="009D063D"/>
    <w:pPr>
      <w:tabs>
        <w:tab w:val="center" w:pos="4536"/>
        <w:tab w:val="right" w:pos="9072"/>
      </w:tabs>
    </w:pPr>
  </w:style>
  <w:style w:type="character" w:customStyle="1" w:styleId="HeaderChar">
    <w:name w:val="Header Char"/>
    <w:basedOn w:val="DefaultParagraphFont"/>
    <w:link w:val="Header"/>
    <w:uiPriority w:val="99"/>
    <w:semiHidden/>
    <w:locked/>
    <w:rsid w:val="009D063D"/>
    <w:rPr>
      <w:rFonts w:cs="Times New Roman"/>
      <w:sz w:val="22"/>
      <w:szCs w:val="22"/>
      <w:lang w:eastAsia="en-US"/>
    </w:rPr>
  </w:style>
  <w:style w:type="paragraph" w:styleId="Footer">
    <w:name w:val="footer"/>
    <w:basedOn w:val="Normal"/>
    <w:link w:val="FooterChar"/>
    <w:uiPriority w:val="99"/>
    <w:rsid w:val="009D063D"/>
    <w:pPr>
      <w:tabs>
        <w:tab w:val="center" w:pos="4536"/>
        <w:tab w:val="right" w:pos="9072"/>
      </w:tabs>
    </w:pPr>
  </w:style>
  <w:style w:type="character" w:customStyle="1" w:styleId="FooterChar">
    <w:name w:val="Footer Char"/>
    <w:basedOn w:val="DefaultParagraphFont"/>
    <w:link w:val="Footer"/>
    <w:uiPriority w:val="99"/>
    <w:locked/>
    <w:rsid w:val="009D063D"/>
    <w:rPr>
      <w:rFonts w:cs="Times New Roman"/>
      <w:sz w:val="22"/>
      <w:szCs w:val="22"/>
      <w:lang w:eastAsia="en-US"/>
    </w:rPr>
  </w:style>
  <w:style w:type="character" w:styleId="Strong">
    <w:name w:val="Strong"/>
    <w:basedOn w:val="DefaultParagraphFont"/>
    <w:uiPriority w:val="99"/>
    <w:qFormat/>
    <w:locked/>
    <w:rsid w:val="00560326"/>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ca-bg.org/index.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11</Pages>
  <Words>4112</Words>
  <Characters>23440</Characters>
  <Application>Microsoft Office Outlook</Application>
  <DocSecurity>0</DocSecurity>
  <Lines>0</Lines>
  <Paragraphs>0</Paragraphs>
  <ScaleCrop>false</ScaleCrop>
  <Company>BICA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 </cp:lastModifiedBy>
  <cp:revision>2</cp:revision>
  <cp:lastPrinted>2010-05-26T06:33:00Z</cp:lastPrinted>
  <dcterms:created xsi:type="dcterms:W3CDTF">2010-05-26T06:36:00Z</dcterms:created>
  <dcterms:modified xsi:type="dcterms:W3CDTF">2010-05-26T06:36:00Z</dcterms:modified>
</cp:coreProperties>
</file>