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B3" w:rsidRPr="004C1D8B" w:rsidRDefault="000801B3" w:rsidP="00902349">
      <w:pPr>
        <w:pStyle w:val="BodyText"/>
        <w:spacing w:after="120"/>
        <w:jc w:val="both"/>
        <w:rPr>
          <w:rFonts w:ascii="Tahoma" w:hAnsi="Tahoma" w:cs="Tahoma"/>
          <w:sz w:val="24"/>
          <w:szCs w:val="22"/>
        </w:rPr>
      </w:pPr>
    </w:p>
    <w:p w:rsidR="000801B3" w:rsidRPr="004C1D8B" w:rsidRDefault="002F34B7" w:rsidP="00902349">
      <w:pPr>
        <w:pStyle w:val="BodyText"/>
        <w:spacing w:after="120"/>
        <w:jc w:val="left"/>
        <w:rPr>
          <w:rFonts w:ascii="Tahoma" w:hAnsi="Tahoma" w:cs="Tahoma"/>
          <w:sz w:val="24"/>
          <w:szCs w:val="22"/>
        </w:rPr>
      </w:pPr>
      <w:r w:rsidRPr="004C1D8B">
        <w:rPr>
          <w:rFonts w:ascii="Tahoma" w:hAnsi="Tahoma" w:cs="Tahoma"/>
          <w:noProof/>
          <w:sz w:val="24"/>
          <w:szCs w:val="22"/>
          <w:lang w:eastAsia="bg-BG"/>
        </w:rPr>
        <w:drawing>
          <wp:anchor distT="0" distB="0" distL="114300" distR="114300" simplePos="0" relativeHeight="251657728" behindDoc="1" locked="0" layoutInCell="1" allowOverlap="1" wp14:anchorId="1F90A160" wp14:editId="0A8BB539">
            <wp:simplePos x="0" y="0"/>
            <wp:positionH relativeFrom="column">
              <wp:posOffset>100965</wp:posOffset>
            </wp:positionH>
            <wp:positionV relativeFrom="paragraph">
              <wp:posOffset>305435</wp:posOffset>
            </wp:positionV>
            <wp:extent cx="6124575" cy="723900"/>
            <wp:effectExtent l="0" t="0" r="9525" b="0"/>
            <wp:wrapTight wrapText="bothSides">
              <wp:wrapPolygon edited="0">
                <wp:start x="0" y="0"/>
                <wp:lineTo x="0" y="21032"/>
                <wp:lineTo x="21566" y="21032"/>
                <wp:lineTo x="21566" y="0"/>
                <wp:lineTo x="0" y="0"/>
              </wp:wrapPolygon>
            </wp:wrapTight>
            <wp:docPr id="15" name="Picture 2" descr="bia-logo-bg&am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a-logo-bg&am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23900"/>
                    </a:xfrm>
                    <a:prstGeom prst="rect">
                      <a:avLst/>
                    </a:prstGeom>
                    <a:noFill/>
                  </pic:spPr>
                </pic:pic>
              </a:graphicData>
            </a:graphic>
          </wp:anchor>
        </w:drawing>
      </w: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24"/>
          <w:szCs w:val="22"/>
        </w:rPr>
      </w:pPr>
    </w:p>
    <w:p w:rsidR="000801B3" w:rsidRPr="004C1D8B" w:rsidRDefault="000801B3" w:rsidP="00902349">
      <w:pPr>
        <w:pStyle w:val="BodyText"/>
        <w:spacing w:after="120"/>
        <w:rPr>
          <w:rFonts w:ascii="Tahoma" w:hAnsi="Tahoma" w:cs="Tahoma"/>
          <w:sz w:val="32"/>
          <w:szCs w:val="22"/>
        </w:rPr>
      </w:pPr>
    </w:p>
    <w:p w:rsidR="000801B3" w:rsidRPr="004C1D8B" w:rsidRDefault="000801B3" w:rsidP="00902349">
      <w:pPr>
        <w:pStyle w:val="BodyText"/>
        <w:spacing w:after="120"/>
        <w:rPr>
          <w:rFonts w:ascii="Tahoma" w:hAnsi="Tahoma" w:cs="Tahoma"/>
          <w:sz w:val="32"/>
          <w:szCs w:val="22"/>
        </w:rPr>
      </w:pPr>
    </w:p>
    <w:p w:rsidR="000801B3" w:rsidRPr="004C1D8B" w:rsidRDefault="000801B3" w:rsidP="00902349">
      <w:pPr>
        <w:pStyle w:val="BodyText"/>
        <w:spacing w:after="120"/>
        <w:rPr>
          <w:rFonts w:ascii="Tahoma" w:hAnsi="Tahoma" w:cs="Tahoma"/>
          <w:sz w:val="32"/>
          <w:szCs w:val="22"/>
        </w:rPr>
      </w:pPr>
    </w:p>
    <w:p w:rsidR="000801B3" w:rsidRPr="004C1D8B" w:rsidRDefault="000801B3" w:rsidP="00902349">
      <w:pPr>
        <w:pStyle w:val="BodyText"/>
        <w:spacing w:after="120"/>
        <w:rPr>
          <w:rFonts w:ascii="Tahoma" w:hAnsi="Tahoma" w:cs="Tahoma"/>
          <w:sz w:val="32"/>
          <w:szCs w:val="22"/>
        </w:rPr>
      </w:pPr>
      <w:r w:rsidRPr="004C1D8B">
        <w:rPr>
          <w:rFonts w:ascii="Tahoma" w:hAnsi="Tahoma" w:cs="Tahoma"/>
          <w:sz w:val="32"/>
          <w:szCs w:val="22"/>
        </w:rPr>
        <w:t xml:space="preserve">ЗАДЪЛЖЕНИЯ НА ПРЕДПРИЯТИЯТА </w:t>
      </w:r>
      <w:r w:rsidRPr="004C1D8B">
        <w:rPr>
          <w:rFonts w:ascii="Tahoma" w:hAnsi="Tahoma" w:cs="Tahoma"/>
          <w:sz w:val="32"/>
          <w:szCs w:val="22"/>
        </w:rPr>
        <w:br/>
        <w:t>ОТ НЕФИНАНСОВИЯ СЕКТОР НА ИКОНОМИКАТА</w:t>
      </w:r>
    </w:p>
    <w:p w:rsidR="000801B3" w:rsidRPr="004C1D8B" w:rsidRDefault="000801B3" w:rsidP="00902349">
      <w:pPr>
        <w:spacing w:after="120"/>
        <w:jc w:val="center"/>
        <w:rPr>
          <w:rFonts w:ascii="Tahoma" w:hAnsi="Tahoma" w:cs="Tahoma"/>
          <w:b/>
          <w:bCs/>
          <w:sz w:val="32"/>
          <w:szCs w:val="22"/>
        </w:rPr>
      </w:pPr>
    </w:p>
    <w:p w:rsidR="000801B3" w:rsidRPr="004C1D8B" w:rsidRDefault="000801B3" w:rsidP="00902349">
      <w:pPr>
        <w:spacing w:after="120"/>
        <w:jc w:val="center"/>
        <w:rPr>
          <w:rFonts w:ascii="Tahoma" w:hAnsi="Tahoma" w:cs="Tahoma"/>
          <w:b/>
          <w:bCs/>
          <w:i/>
          <w:sz w:val="32"/>
          <w:szCs w:val="22"/>
        </w:rPr>
      </w:pPr>
      <w:r w:rsidRPr="004C1D8B">
        <w:rPr>
          <w:rFonts w:ascii="Tahoma" w:hAnsi="Tahoma" w:cs="Tahoma"/>
          <w:b/>
          <w:bCs/>
          <w:i/>
          <w:sz w:val="32"/>
          <w:szCs w:val="22"/>
        </w:rPr>
        <w:t>(Към 31 декември 20</w:t>
      </w:r>
      <w:r w:rsidRPr="004C1D8B">
        <w:rPr>
          <w:rFonts w:ascii="Tahoma" w:hAnsi="Tahoma" w:cs="Tahoma"/>
          <w:b/>
          <w:bCs/>
          <w:i/>
          <w:sz w:val="32"/>
          <w:szCs w:val="22"/>
          <w:lang w:val="ru-RU"/>
        </w:rPr>
        <w:t>11</w:t>
      </w:r>
      <w:r w:rsidRPr="004C1D8B">
        <w:rPr>
          <w:rFonts w:ascii="Tahoma" w:hAnsi="Tahoma" w:cs="Tahoma"/>
          <w:b/>
          <w:bCs/>
          <w:i/>
          <w:sz w:val="32"/>
          <w:szCs w:val="22"/>
        </w:rPr>
        <w:t xml:space="preserve"> г.)</w:t>
      </w:r>
    </w:p>
    <w:p w:rsidR="000801B3" w:rsidRPr="004C1D8B" w:rsidRDefault="000801B3" w:rsidP="00902349">
      <w:pPr>
        <w:spacing w:after="120"/>
        <w:jc w:val="both"/>
        <w:rPr>
          <w:rFonts w:ascii="Tahoma" w:hAnsi="Tahoma" w:cs="Tahoma"/>
          <w:sz w:val="32"/>
          <w:szCs w:val="22"/>
        </w:rPr>
      </w:pPr>
    </w:p>
    <w:p w:rsidR="00902349" w:rsidRPr="004C1D8B" w:rsidRDefault="00902349" w:rsidP="00902349">
      <w:pPr>
        <w:spacing w:after="120"/>
        <w:ind w:firstLine="720"/>
        <w:jc w:val="both"/>
        <w:rPr>
          <w:rFonts w:ascii="Tahoma" w:hAnsi="Tahoma" w:cs="Tahoma"/>
          <w:sz w:val="32"/>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902349" w:rsidRPr="004C1D8B" w:rsidRDefault="00902349" w:rsidP="00902349">
      <w:pPr>
        <w:spacing w:after="120"/>
        <w:ind w:firstLine="720"/>
        <w:jc w:val="both"/>
        <w:rPr>
          <w:rFonts w:ascii="Tahoma" w:hAnsi="Tahoma" w:cs="Tahoma"/>
          <w:szCs w:val="22"/>
          <w:lang w:val="en-US"/>
        </w:rPr>
      </w:pPr>
    </w:p>
    <w:p w:rsidR="000801B3" w:rsidRPr="004C1D8B" w:rsidRDefault="000801B3" w:rsidP="00902349">
      <w:pPr>
        <w:spacing w:after="120"/>
        <w:ind w:firstLine="720"/>
        <w:jc w:val="both"/>
        <w:rPr>
          <w:rFonts w:ascii="Tahoma" w:hAnsi="Tahoma" w:cs="Tahoma"/>
          <w:szCs w:val="22"/>
        </w:rPr>
      </w:pPr>
    </w:p>
    <w:p w:rsidR="000801B3" w:rsidRPr="009028FA" w:rsidRDefault="000801B3" w:rsidP="00902349">
      <w:pPr>
        <w:spacing w:after="120"/>
        <w:jc w:val="center"/>
        <w:rPr>
          <w:rFonts w:ascii="Tahoma" w:hAnsi="Tahoma" w:cs="Tahoma"/>
          <w:sz w:val="28"/>
          <w:szCs w:val="22"/>
        </w:rPr>
      </w:pPr>
      <w:r w:rsidRPr="009028FA">
        <w:rPr>
          <w:rFonts w:ascii="Tahoma" w:hAnsi="Tahoma" w:cs="Tahoma"/>
          <w:sz w:val="28"/>
          <w:szCs w:val="22"/>
        </w:rPr>
        <w:t>София</w:t>
      </w:r>
    </w:p>
    <w:p w:rsidR="000801B3" w:rsidRPr="009028FA" w:rsidRDefault="000801B3" w:rsidP="00902349">
      <w:pPr>
        <w:spacing w:after="120"/>
        <w:jc w:val="center"/>
        <w:rPr>
          <w:rFonts w:ascii="Tahoma" w:hAnsi="Tahoma" w:cs="Tahoma"/>
          <w:sz w:val="28"/>
          <w:szCs w:val="22"/>
        </w:rPr>
      </w:pPr>
      <w:r w:rsidRPr="009028FA">
        <w:rPr>
          <w:rFonts w:ascii="Tahoma" w:hAnsi="Tahoma" w:cs="Tahoma"/>
          <w:sz w:val="28"/>
          <w:szCs w:val="22"/>
        </w:rPr>
        <w:t>Януари 2013 г.</w:t>
      </w:r>
    </w:p>
    <w:p w:rsidR="000801B3" w:rsidRPr="004C1D8B" w:rsidRDefault="000801B3" w:rsidP="00902349">
      <w:pPr>
        <w:spacing w:after="120"/>
        <w:jc w:val="center"/>
        <w:rPr>
          <w:rFonts w:ascii="Tahoma" w:hAnsi="Tahoma" w:cs="Tahoma"/>
          <w:szCs w:val="22"/>
        </w:rPr>
      </w:pPr>
      <w:r w:rsidRPr="004C1D8B">
        <w:rPr>
          <w:rFonts w:ascii="Tahoma" w:hAnsi="Tahoma" w:cs="Tahoma"/>
          <w:szCs w:val="22"/>
        </w:rPr>
        <w:br w:type="page"/>
      </w:r>
    </w:p>
    <w:p w:rsidR="00C71576" w:rsidRPr="004C1D8B" w:rsidRDefault="00C71576" w:rsidP="00C71576">
      <w:pPr>
        <w:spacing w:after="120"/>
        <w:ind w:firstLine="720"/>
        <w:jc w:val="both"/>
        <w:rPr>
          <w:rFonts w:ascii="Tahoma" w:hAnsi="Tahoma" w:cs="Tahoma"/>
          <w:b/>
          <w:szCs w:val="22"/>
          <w:shd w:val="clear" w:color="auto" w:fill="C6D9F1"/>
        </w:rPr>
      </w:pPr>
    </w:p>
    <w:p w:rsidR="000801B3" w:rsidRPr="004C1D8B" w:rsidRDefault="000801B3" w:rsidP="00902349">
      <w:pPr>
        <w:shd w:val="clear" w:color="auto" w:fill="C6D9F1"/>
        <w:spacing w:after="120"/>
        <w:ind w:firstLine="720"/>
        <w:jc w:val="both"/>
        <w:rPr>
          <w:rFonts w:ascii="Tahoma" w:hAnsi="Tahoma" w:cs="Tahoma"/>
          <w:b/>
          <w:szCs w:val="22"/>
        </w:rPr>
      </w:pPr>
      <w:r w:rsidRPr="004C1D8B">
        <w:rPr>
          <w:rFonts w:ascii="Tahoma" w:hAnsi="Tahoma" w:cs="Tahoma"/>
          <w:b/>
          <w:szCs w:val="22"/>
          <w:shd w:val="clear" w:color="auto" w:fill="C6D9F1"/>
        </w:rPr>
        <w:t>ВЪВЕДЕНИЕ</w:t>
      </w:r>
    </w:p>
    <w:p w:rsidR="000801B3" w:rsidRPr="004C1D8B" w:rsidRDefault="000801B3" w:rsidP="00902349">
      <w:pPr>
        <w:spacing w:after="120"/>
        <w:ind w:firstLine="426"/>
        <w:jc w:val="both"/>
        <w:rPr>
          <w:rFonts w:ascii="Tahoma" w:hAnsi="Tahoma" w:cs="Tahoma"/>
          <w:b/>
          <w:szCs w:val="22"/>
        </w:rPr>
      </w:pPr>
      <w:r w:rsidRPr="004C1D8B">
        <w:rPr>
          <w:rFonts w:ascii="Tahoma" w:hAnsi="Tahoma" w:cs="Tahoma"/>
          <w:b/>
          <w:szCs w:val="22"/>
        </w:rPr>
        <w:t>Тенденцията на увеличение на задълженията на предприятията от нефинансовия сектор на икономиката продължава. В края на 2011 г. те надхвърлиха 16</w:t>
      </w:r>
      <w:r w:rsidR="00134AB0" w:rsidRPr="004C1D8B">
        <w:rPr>
          <w:rFonts w:ascii="Tahoma" w:hAnsi="Tahoma" w:cs="Tahoma"/>
          <w:b/>
          <w:szCs w:val="22"/>
        </w:rPr>
        <w:t>3</w:t>
      </w:r>
      <w:r w:rsidRPr="004C1D8B">
        <w:rPr>
          <w:rFonts w:ascii="Tahoma" w:hAnsi="Tahoma" w:cs="Tahoma"/>
          <w:b/>
          <w:szCs w:val="22"/>
        </w:rPr>
        <w:t xml:space="preserve"> млрд.лв. В сравнение с 2005 г. са по-големи с </w:t>
      </w:r>
      <w:r w:rsidR="00956ED0" w:rsidRPr="004C1D8B">
        <w:rPr>
          <w:rFonts w:ascii="Tahoma" w:hAnsi="Tahoma" w:cs="Tahoma"/>
          <w:b/>
          <w:szCs w:val="22"/>
        </w:rPr>
        <w:t>над 96</w:t>
      </w:r>
      <w:r w:rsidRPr="004C1D8B">
        <w:rPr>
          <w:rFonts w:ascii="Tahoma" w:hAnsi="Tahoma" w:cs="Tahoma"/>
          <w:b/>
          <w:szCs w:val="22"/>
        </w:rPr>
        <w:t xml:space="preserve"> млрд. лева или </w:t>
      </w:r>
      <w:r w:rsidR="00BA716B" w:rsidRPr="004C1D8B">
        <w:rPr>
          <w:rFonts w:ascii="Tahoma" w:hAnsi="Tahoma" w:cs="Tahoma"/>
          <w:b/>
          <w:szCs w:val="22"/>
          <w:lang w:val="en-US"/>
        </w:rPr>
        <w:t>2</w:t>
      </w:r>
      <w:r w:rsidR="009B2194" w:rsidRPr="004C1D8B">
        <w:rPr>
          <w:rFonts w:ascii="Tahoma" w:hAnsi="Tahoma" w:cs="Tahoma"/>
          <w:b/>
          <w:szCs w:val="22"/>
        </w:rPr>
        <w:t>,5</w:t>
      </w:r>
      <w:r w:rsidRPr="004C1D8B">
        <w:rPr>
          <w:rFonts w:ascii="Tahoma" w:hAnsi="Tahoma" w:cs="Tahoma"/>
          <w:b/>
          <w:szCs w:val="22"/>
        </w:rPr>
        <w:t xml:space="preserve"> път</w:t>
      </w:r>
      <w:r w:rsidR="00510C6D" w:rsidRPr="004C1D8B">
        <w:rPr>
          <w:rFonts w:ascii="Tahoma" w:hAnsi="Tahoma" w:cs="Tahoma"/>
          <w:b/>
          <w:szCs w:val="22"/>
        </w:rPr>
        <w:t xml:space="preserve">и. Спрямо 2010 г. прирастът </w:t>
      </w:r>
      <w:r w:rsidR="009B2194" w:rsidRPr="004C1D8B">
        <w:rPr>
          <w:rFonts w:ascii="Tahoma" w:hAnsi="Tahoma" w:cs="Tahoma"/>
          <w:b/>
          <w:szCs w:val="22"/>
        </w:rPr>
        <w:t xml:space="preserve">е </w:t>
      </w:r>
      <w:r w:rsidR="00510C6D" w:rsidRPr="004C1D8B">
        <w:rPr>
          <w:rFonts w:ascii="Tahoma" w:hAnsi="Tahoma" w:cs="Tahoma"/>
          <w:b/>
          <w:szCs w:val="22"/>
        </w:rPr>
        <w:t xml:space="preserve">над </w:t>
      </w:r>
      <w:r w:rsidRPr="004C1D8B">
        <w:rPr>
          <w:rFonts w:ascii="Tahoma" w:hAnsi="Tahoma" w:cs="Tahoma"/>
          <w:b/>
          <w:szCs w:val="22"/>
          <w:lang w:val="en-US"/>
        </w:rPr>
        <w:t>5</w:t>
      </w:r>
      <w:r w:rsidRPr="004C1D8B">
        <w:rPr>
          <w:rFonts w:ascii="Tahoma" w:hAnsi="Tahoma" w:cs="Tahoma"/>
          <w:b/>
          <w:szCs w:val="22"/>
        </w:rPr>
        <w:t xml:space="preserve"> млрд. лева</w:t>
      </w:r>
      <w:r w:rsidR="00510C6D" w:rsidRPr="004C1D8B">
        <w:rPr>
          <w:rFonts w:ascii="Tahoma" w:hAnsi="Tahoma" w:cs="Tahoma"/>
          <w:b/>
          <w:szCs w:val="22"/>
        </w:rPr>
        <w:t>, което е</w:t>
      </w:r>
      <w:r w:rsidRPr="004C1D8B">
        <w:rPr>
          <w:rFonts w:ascii="Tahoma" w:hAnsi="Tahoma" w:cs="Tahoma"/>
          <w:b/>
          <w:szCs w:val="22"/>
        </w:rPr>
        <w:t xml:space="preserve"> </w:t>
      </w:r>
      <w:r w:rsidR="00510C6D" w:rsidRPr="004C1D8B">
        <w:rPr>
          <w:rFonts w:ascii="Tahoma" w:hAnsi="Tahoma" w:cs="Tahoma"/>
          <w:b/>
          <w:szCs w:val="22"/>
        </w:rPr>
        <w:t>3</w:t>
      </w:r>
      <w:r w:rsidR="009B2194" w:rsidRPr="004C1D8B">
        <w:rPr>
          <w:rFonts w:ascii="Tahoma" w:hAnsi="Tahoma" w:cs="Tahoma"/>
          <w:b/>
          <w:szCs w:val="22"/>
        </w:rPr>
        <w:t>,3</w:t>
      </w:r>
      <w:r w:rsidRPr="004C1D8B">
        <w:rPr>
          <w:rFonts w:ascii="Tahoma" w:hAnsi="Tahoma" w:cs="Tahoma"/>
          <w:b/>
          <w:szCs w:val="22"/>
        </w:rPr>
        <w:t xml:space="preserve"> %.</w:t>
      </w:r>
    </w:p>
    <w:p w:rsidR="007244E3" w:rsidRPr="004C1D8B" w:rsidRDefault="007244E3" w:rsidP="007244E3">
      <w:pPr>
        <w:spacing w:after="120"/>
        <w:ind w:firstLine="426"/>
        <w:jc w:val="both"/>
        <w:rPr>
          <w:rFonts w:ascii="Tahoma" w:hAnsi="Tahoma" w:cs="Tahoma"/>
          <w:szCs w:val="22"/>
        </w:rPr>
      </w:pPr>
      <w:r w:rsidRPr="004C1D8B">
        <w:rPr>
          <w:rFonts w:ascii="Tahoma" w:hAnsi="Tahoma" w:cs="Tahoma"/>
          <w:szCs w:val="22"/>
        </w:rPr>
        <w:t xml:space="preserve">През 2005 г. на 1 лев БВП е имало 1.58 лв. задължения, през 2009 г. – 2,39 (51% повече спрямо 2005 г.), а през 2011 г. съотношението спада до 2.27 лв., което е с около 5% спрямо 2009 г. </w:t>
      </w:r>
    </w:p>
    <w:p w:rsidR="00902349" w:rsidRPr="004C1D8B" w:rsidRDefault="00902349" w:rsidP="00902349">
      <w:pPr>
        <w:spacing w:after="120"/>
        <w:ind w:firstLine="426"/>
        <w:jc w:val="both"/>
        <w:rPr>
          <w:rFonts w:ascii="Tahoma" w:hAnsi="Tahoma" w:cs="Tahoma"/>
          <w:sz w:val="6"/>
          <w:szCs w:val="22"/>
          <w:lang w:val="en-US"/>
        </w:rPr>
      </w:pPr>
    </w:p>
    <w:tbl>
      <w:tblPr>
        <w:tblW w:w="10210" w:type="dxa"/>
        <w:tblLayout w:type="fixed"/>
        <w:tblCellMar>
          <w:left w:w="70" w:type="dxa"/>
          <w:right w:w="70" w:type="dxa"/>
        </w:tblCellMar>
        <w:tblLook w:val="01E0" w:firstRow="1" w:lastRow="1" w:firstColumn="1" w:lastColumn="1" w:noHBand="0" w:noVBand="0"/>
      </w:tblPr>
      <w:tblGrid>
        <w:gridCol w:w="5032"/>
        <w:gridCol w:w="5178"/>
      </w:tblGrid>
      <w:tr w:rsidR="00560E7D" w:rsidRPr="004C1D8B" w:rsidTr="003B7742">
        <w:trPr>
          <w:trHeight w:val="2383"/>
        </w:trPr>
        <w:tc>
          <w:tcPr>
            <w:tcW w:w="5032" w:type="dxa"/>
          </w:tcPr>
          <w:p w:rsidR="00560E7D" w:rsidRPr="004C1D8B" w:rsidRDefault="003B7742" w:rsidP="0028589D">
            <w:pPr>
              <w:spacing w:after="120"/>
              <w:rPr>
                <w:rFonts w:ascii="Tahoma" w:hAnsi="Tahoma" w:cs="Tahoma"/>
                <w:sz w:val="28"/>
              </w:rPr>
            </w:pPr>
            <w:r w:rsidRPr="004C1D8B">
              <w:rPr>
                <w:noProof/>
                <w:sz w:val="28"/>
                <w:lang w:eastAsia="bg-BG"/>
              </w:rPr>
              <w:drawing>
                <wp:inline distT="0" distB="0" distL="0" distR="0" wp14:anchorId="4DB73216" wp14:editId="08094C17">
                  <wp:extent cx="3114675" cy="2305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78" w:type="dxa"/>
          </w:tcPr>
          <w:p w:rsidR="00560E7D" w:rsidRPr="004C1D8B" w:rsidRDefault="003B7742" w:rsidP="00560E7D">
            <w:pPr>
              <w:spacing w:after="120"/>
              <w:rPr>
                <w:rFonts w:ascii="Tahoma" w:hAnsi="Tahoma" w:cs="Tahoma"/>
                <w:sz w:val="28"/>
              </w:rPr>
            </w:pPr>
            <w:r w:rsidRPr="004C1D8B">
              <w:rPr>
                <w:noProof/>
                <w:sz w:val="28"/>
                <w:lang w:eastAsia="bg-BG"/>
              </w:rPr>
              <w:drawing>
                <wp:inline distT="0" distB="0" distL="0" distR="0" wp14:anchorId="6861889F" wp14:editId="00C31E26">
                  <wp:extent cx="3124200" cy="23050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560E7D" w:rsidRPr="004C1D8B" w:rsidRDefault="00F41E05" w:rsidP="00560E7D">
      <w:pPr>
        <w:spacing w:after="120"/>
        <w:ind w:firstLine="426"/>
        <w:jc w:val="both"/>
        <w:rPr>
          <w:rFonts w:ascii="Tahoma" w:hAnsi="Tahoma" w:cs="Tahoma"/>
          <w:szCs w:val="22"/>
        </w:rPr>
      </w:pPr>
      <w:r w:rsidRPr="004C1D8B">
        <w:rPr>
          <w:rFonts w:ascii="Tahoma" w:hAnsi="Tahoma" w:cs="Tahoma"/>
          <w:szCs w:val="22"/>
        </w:rPr>
        <w:t xml:space="preserve">Данните показват, че след началото на икономическата криза през 2009 г. се обръща тенденцията по отношение темповете на растеж на задълженията, които започват да намаляват. Причините за това явление се коренят основно </w:t>
      </w:r>
      <w:r w:rsidR="007244E3" w:rsidRPr="004C1D8B">
        <w:rPr>
          <w:rFonts w:ascii="Tahoma" w:hAnsi="Tahoma" w:cs="Tahoma"/>
          <w:szCs w:val="22"/>
        </w:rPr>
        <w:t xml:space="preserve">в </w:t>
      </w:r>
      <w:r w:rsidRPr="004C1D8B">
        <w:rPr>
          <w:rFonts w:ascii="Tahoma" w:hAnsi="Tahoma" w:cs="Tahoma"/>
          <w:szCs w:val="22"/>
        </w:rPr>
        <w:t>намаляването на инвестиционната активност, респективно – намаляват дългосрочните кредити.</w:t>
      </w:r>
    </w:p>
    <w:p w:rsidR="007244E3" w:rsidRPr="004C1D8B" w:rsidRDefault="007244E3" w:rsidP="007244E3">
      <w:pPr>
        <w:spacing w:after="120"/>
        <w:ind w:firstLine="426"/>
        <w:jc w:val="both"/>
        <w:rPr>
          <w:rFonts w:ascii="Tahoma" w:hAnsi="Tahoma" w:cs="Tahoma"/>
          <w:szCs w:val="22"/>
        </w:rPr>
      </w:pPr>
      <w:r w:rsidRPr="004C1D8B">
        <w:rPr>
          <w:rFonts w:ascii="Tahoma" w:hAnsi="Tahoma" w:cs="Tahoma"/>
          <w:b/>
          <w:szCs w:val="22"/>
        </w:rPr>
        <w:t>Инвестиционните разходи</w:t>
      </w:r>
      <w:r w:rsidRPr="004C1D8B">
        <w:rPr>
          <w:rFonts w:ascii="Tahoma" w:hAnsi="Tahoma" w:cs="Tahoma"/>
          <w:szCs w:val="22"/>
        </w:rPr>
        <w:t xml:space="preserve"> през периода 2005-2008 г. нараснаха 2,2 пъти., а от 2009 г. започнаха да намаляват. През 2011 г., макар и слабо, отново нараства инвестиционната активност, но спрямо 2008 г. инвестициите са по-малко с около 40%.</w:t>
      </w: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90"/>
        <w:gridCol w:w="5110"/>
      </w:tblGrid>
      <w:tr w:rsidR="007244E3" w:rsidRPr="004C1D8B" w:rsidTr="00C71576">
        <w:tc>
          <w:tcPr>
            <w:tcW w:w="4995" w:type="dxa"/>
          </w:tcPr>
          <w:p w:rsidR="007244E3" w:rsidRPr="004C1D8B" w:rsidRDefault="00C71576" w:rsidP="007244E3">
            <w:pPr>
              <w:spacing w:after="120"/>
              <w:jc w:val="both"/>
              <w:rPr>
                <w:rFonts w:ascii="Tahoma" w:hAnsi="Tahoma" w:cs="Tahoma"/>
                <w:szCs w:val="22"/>
              </w:rPr>
            </w:pPr>
            <w:r w:rsidRPr="004C1D8B">
              <w:rPr>
                <w:noProof/>
                <w:sz w:val="28"/>
                <w:lang w:eastAsia="bg-BG"/>
              </w:rPr>
              <w:drawing>
                <wp:inline distT="0" distB="0" distL="0" distR="0" wp14:anchorId="21C487F1" wp14:editId="0B9FE3E6">
                  <wp:extent cx="3076575" cy="19050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05" w:type="dxa"/>
          </w:tcPr>
          <w:p w:rsidR="007244E3" w:rsidRPr="004C1D8B" w:rsidRDefault="007244E3" w:rsidP="007244E3">
            <w:pPr>
              <w:spacing w:after="120"/>
              <w:jc w:val="both"/>
              <w:rPr>
                <w:rFonts w:ascii="Tahoma" w:hAnsi="Tahoma" w:cs="Tahoma"/>
                <w:szCs w:val="22"/>
              </w:rPr>
            </w:pPr>
            <w:r w:rsidRPr="004C1D8B">
              <w:rPr>
                <w:noProof/>
                <w:sz w:val="28"/>
                <w:lang w:eastAsia="bg-BG"/>
              </w:rPr>
              <w:drawing>
                <wp:inline distT="0" distB="0" distL="0" distR="0" wp14:anchorId="3AB4E176" wp14:editId="483A4568">
                  <wp:extent cx="3152775" cy="19050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71576" w:rsidRPr="004C1D8B" w:rsidRDefault="00C71576" w:rsidP="00C71576">
      <w:pPr>
        <w:spacing w:after="120"/>
        <w:ind w:firstLine="426"/>
        <w:jc w:val="both"/>
        <w:rPr>
          <w:rFonts w:ascii="Tahoma" w:hAnsi="Tahoma" w:cs="Tahoma"/>
          <w:b/>
          <w:szCs w:val="22"/>
        </w:rPr>
      </w:pPr>
    </w:p>
    <w:p w:rsidR="007244E3" w:rsidRPr="004C1D8B" w:rsidRDefault="00C71576" w:rsidP="00C71576">
      <w:pPr>
        <w:spacing w:after="120"/>
        <w:ind w:firstLine="426"/>
        <w:jc w:val="both"/>
        <w:rPr>
          <w:rFonts w:ascii="Tahoma" w:hAnsi="Tahoma" w:cs="Tahoma"/>
          <w:szCs w:val="22"/>
        </w:rPr>
      </w:pPr>
      <w:r w:rsidRPr="004C1D8B">
        <w:rPr>
          <w:rFonts w:ascii="Tahoma" w:hAnsi="Tahoma" w:cs="Tahoma"/>
          <w:b/>
          <w:szCs w:val="22"/>
        </w:rPr>
        <w:t>Остава затруднен достъпът до банково кредитиране</w:t>
      </w:r>
      <w:r w:rsidRPr="004C1D8B">
        <w:rPr>
          <w:rFonts w:ascii="Tahoma" w:hAnsi="Tahoma" w:cs="Tahoma"/>
          <w:szCs w:val="22"/>
        </w:rPr>
        <w:t>, вследствие на несигурната икономическа среда. Средните нива на лихвените проценти по новоотпуснатите кредити отбелязаха незначителен спад до 9,8% при 10,7% година по-рано. Допълнително към тази цена следва да се добавят около 3% за разходи за гаранции, застраховки, такси за разглеждане и обслужване и други.</w:t>
      </w:r>
    </w:p>
    <w:p w:rsidR="000801B3" w:rsidRPr="004C1D8B" w:rsidRDefault="000801B3" w:rsidP="00902349">
      <w:pPr>
        <w:spacing w:after="120"/>
        <w:rPr>
          <w:rFonts w:ascii="Tahoma" w:hAnsi="Tahoma" w:cs="Tahoma"/>
          <w:szCs w:val="22"/>
          <w:lang w:val="ru-RU"/>
        </w:rPr>
      </w:pPr>
    </w:p>
    <w:p w:rsidR="00C71576" w:rsidRPr="004C1D8B" w:rsidRDefault="00C71576">
      <w:pPr>
        <w:rPr>
          <w:rFonts w:ascii="Tahoma" w:hAnsi="Tahoma" w:cs="Tahoma"/>
          <w:b/>
          <w:bCs/>
          <w:i/>
          <w:iCs/>
          <w:szCs w:val="22"/>
        </w:rPr>
      </w:pPr>
      <w:r w:rsidRPr="004C1D8B">
        <w:rPr>
          <w:rFonts w:ascii="Tahoma" w:hAnsi="Tahoma" w:cs="Tahoma"/>
          <w:i/>
          <w:iCs/>
          <w:szCs w:val="22"/>
        </w:rPr>
        <w:br w:type="page"/>
      </w:r>
    </w:p>
    <w:p w:rsidR="000801B3" w:rsidRPr="004C1D8B" w:rsidRDefault="000801B3" w:rsidP="00902349">
      <w:pPr>
        <w:pStyle w:val="Heading1"/>
        <w:shd w:val="clear" w:color="auto" w:fill="C6D9F1"/>
        <w:spacing w:after="120"/>
        <w:ind w:left="0" w:firstLine="426"/>
        <w:rPr>
          <w:rFonts w:ascii="Tahoma" w:hAnsi="Tahoma" w:cs="Tahoma"/>
          <w:i/>
          <w:iCs/>
          <w:sz w:val="24"/>
          <w:szCs w:val="22"/>
          <w:lang w:val="ru-RU"/>
        </w:rPr>
      </w:pPr>
      <w:r w:rsidRPr="004C1D8B">
        <w:rPr>
          <w:rFonts w:ascii="Tahoma" w:hAnsi="Tahoma" w:cs="Tahoma"/>
          <w:i/>
          <w:iCs/>
          <w:sz w:val="24"/>
          <w:szCs w:val="22"/>
        </w:rPr>
        <w:lastRenderedPageBreak/>
        <w:t>І. ЗАДЪЛЖЕНИЯ</w:t>
      </w:r>
    </w:p>
    <w:p w:rsidR="000801B3" w:rsidRPr="004C1D8B" w:rsidRDefault="00F41E05" w:rsidP="00902349">
      <w:pPr>
        <w:spacing w:after="120"/>
        <w:ind w:firstLine="425"/>
        <w:jc w:val="both"/>
        <w:rPr>
          <w:rFonts w:ascii="Tahoma" w:hAnsi="Tahoma" w:cs="Tahoma"/>
          <w:szCs w:val="22"/>
        </w:rPr>
      </w:pPr>
      <w:r w:rsidRPr="004C1D8B">
        <w:rPr>
          <w:rFonts w:ascii="Tahoma" w:hAnsi="Tahoma" w:cs="Tahoma"/>
          <w:szCs w:val="22"/>
        </w:rPr>
        <w:t xml:space="preserve">След спада на годишния прираст на задълженията до най-ниски нива през 2010 г. (1.2 млрд.лв.), </w:t>
      </w:r>
      <w:r w:rsidRPr="004C1D8B">
        <w:rPr>
          <w:rFonts w:ascii="Tahoma" w:hAnsi="Tahoma" w:cs="Tahoma"/>
          <w:b/>
          <w:szCs w:val="22"/>
        </w:rPr>
        <w:t xml:space="preserve">през 2011 г. отново се регисрира нарастване с 5,2 млрд.лв. </w:t>
      </w:r>
      <w:r w:rsidRPr="004C1D8B">
        <w:rPr>
          <w:rFonts w:ascii="Tahoma" w:hAnsi="Tahoma" w:cs="Tahoma"/>
          <w:szCs w:val="22"/>
        </w:rPr>
        <w:t>(основно за сметка на краткосрочните кредити за оборотни средства на предприятията).</w:t>
      </w: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87"/>
        <w:gridCol w:w="5513"/>
      </w:tblGrid>
      <w:tr w:rsidR="00C71576" w:rsidRPr="004C1D8B" w:rsidTr="00C71576">
        <w:tc>
          <w:tcPr>
            <w:tcW w:w="4587" w:type="dxa"/>
          </w:tcPr>
          <w:p w:rsidR="000B1314" w:rsidRPr="004C1D8B" w:rsidRDefault="000B1314" w:rsidP="00902349">
            <w:pPr>
              <w:spacing w:after="120"/>
              <w:jc w:val="both"/>
              <w:rPr>
                <w:rFonts w:ascii="Tahoma" w:hAnsi="Tahoma" w:cs="Tahoma"/>
                <w:szCs w:val="22"/>
              </w:rPr>
            </w:pPr>
            <w:r w:rsidRPr="004C1D8B">
              <w:rPr>
                <w:noProof/>
                <w:sz w:val="28"/>
                <w:lang w:eastAsia="bg-BG"/>
              </w:rPr>
              <w:drawing>
                <wp:inline distT="0" distB="0" distL="0" distR="0" wp14:anchorId="47C68D72" wp14:editId="272D1AFE">
                  <wp:extent cx="2838450" cy="2552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513" w:type="dxa"/>
          </w:tcPr>
          <w:p w:rsidR="000B1314" w:rsidRPr="004C1D8B" w:rsidRDefault="000B1314" w:rsidP="00902349">
            <w:pPr>
              <w:spacing w:after="120"/>
              <w:jc w:val="both"/>
              <w:rPr>
                <w:rFonts w:ascii="Tahoma" w:hAnsi="Tahoma" w:cs="Tahoma"/>
                <w:szCs w:val="22"/>
              </w:rPr>
            </w:pPr>
            <w:r w:rsidRPr="004C1D8B">
              <w:rPr>
                <w:noProof/>
                <w:sz w:val="28"/>
                <w:lang w:eastAsia="bg-BG"/>
              </w:rPr>
              <w:drawing>
                <wp:inline distT="0" distB="0" distL="0" distR="0" wp14:anchorId="535158FB" wp14:editId="72CF6A86">
                  <wp:extent cx="3429000" cy="2552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801B3" w:rsidRPr="004C1D8B" w:rsidRDefault="000801B3" w:rsidP="00485C8F">
      <w:pPr>
        <w:spacing w:after="120"/>
        <w:ind w:firstLine="426"/>
        <w:jc w:val="both"/>
        <w:rPr>
          <w:rFonts w:ascii="Tahoma" w:hAnsi="Tahoma" w:cs="Tahoma"/>
          <w:szCs w:val="22"/>
        </w:rPr>
      </w:pPr>
      <w:r w:rsidRPr="004C1D8B">
        <w:rPr>
          <w:rFonts w:ascii="Tahoma" w:hAnsi="Tahoma" w:cs="Tahoma"/>
          <w:szCs w:val="22"/>
        </w:rPr>
        <w:t>Тенденцията на нарастване на задълженията и сравнително малкият ръст на БВП през 2011 г. показват, че икономическата среда продължава да бъде твърде неблагоприятна и поставя икономиката ни в много рискова ситуация.</w:t>
      </w:r>
    </w:p>
    <w:p w:rsidR="00C71576" w:rsidRPr="004C1D8B" w:rsidRDefault="00C71576" w:rsidP="00C71576">
      <w:pPr>
        <w:spacing w:after="120"/>
        <w:ind w:firstLine="426"/>
        <w:jc w:val="both"/>
        <w:rPr>
          <w:rFonts w:ascii="Tahoma" w:hAnsi="Tahoma" w:cs="Tahoma"/>
          <w:b/>
          <w:szCs w:val="22"/>
        </w:rPr>
      </w:pPr>
      <w:r w:rsidRPr="004C1D8B">
        <w:rPr>
          <w:rFonts w:ascii="Tahoma" w:hAnsi="Tahoma" w:cs="Tahoma"/>
          <w:b/>
          <w:szCs w:val="22"/>
        </w:rPr>
        <w:t>По-голямата част от предприятията в нефинансовия сектор на икономиката са счетоводно декапитализирани.</w:t>
      </w:r>
      <w:r w:rsidRPr="004C1D8B">
        <w:rPr>
          <w:rFonts w:ascii="Tahoma" w:hAnsi="Tahoma" w:cs="Tahoma"/>
          <w:szCs w:val="22"/>
        </w:rPr>
        <w:t xml:space="preserve"> Задълженията на всички предприятия към края на 2011 г. са над 70 % по-големи от собствения им капитал. Особено тревожно е положението в предприятията, пласирани на фондовата борса. Сериозното обезценяване на акциите на тези предприятия през 2008 и 2009 г. допълнително оказва негативно въздействие върху техния рейтинг и потенциал за развитие.</w:t>
      </w:r>
    </w:p>
    <w:p w:rsidR="000801B3" w:rsidRPr="004C1D8B" w:rsidRDefault="000801B3" w:rsidP="00902349">
      <w:pPr>
        <w:spacing w:after="120"/>
        <w:ind w:firstLine="426"/>
        <w:jc w:val="both"/>
        <w:rPr>
          <w:rFonts w:ascii="Tahoma" w:hAnsi="Tahoma" w:cs="Tahoma"/>
          <w:szCs w:val="22"/>
        </w:rPr>
      </w:pPr>
      <w:r w:rsidRPr="004C1D8B">
        <w:rPr>
          <w:rFonts w:ascii="Tahoma" w:hAnsi="Tahoma" w:cs="Tahoma"/>
          <w:b/>
          <w:szCs w:val="22"/>
        </w:rPr>
        <w:t xml:space="preserve">Приходите от продажби продължават да растат по-бавно в сравнение със задълженията на предприятията. </w:t>
      </w:r>
      <w:r w:rsidRPr="004C1D8B">
        <w:rPr>
          <w:rFonts w:ascii="Tahoma" w:hAnsi="Tahoma" w:cs="Tahoma"/>
          <w:szCs w:val="22"/>
        </w:rPr>
        <w:t>През 2005 г. те бяха с 11 % по-малко от задълженията на предприятията</w:t>
      </w:r>
      <w:r w:rsidR="00FF2740" w:rsidRPr="004C1D8B">
        <w:rPr>
          <w:rFonts w:ascii="Tahoma" w:hAnsi="Tahoma" w:cs="Tahoma"/>
          <w:szCs w:val="22"/>
        </w:rPr>
        <w:t>. П</w:t>
      </w:r>
      <w:r w:rsidRPr="004C1D8B">
        <w:rPr>
          <w:rFonts w:ascii="Tahoma" w:hAnsi="Tahoma" w:cs="Tahoma"/>
          <w:szCs w:val="22"/>
        </w:rPr>
        <w:t>рез 2011 г.</w:t>
      </w:r>
      <w:r w:rsidR="00FF2740" w:rsidRPr="004C1D8B">
        <w:rPr>
          <w:rFonts w:ascii="Tahoma" w:hAnsi="Tahoma" w:cs="Tahoma"/>
          <w:szCs w:val="22"/>
        </w:rPr>
        <w:t>, обаче, задълженията</w:t>
      </w:r>
      <w:r w:rsidRPr="004C1D8B">
        <w:rPr>
          <w:rFonts w:ascii="Tahoma" w:hAnsi="Tahoma" w:cs="Tahoma"/>
          <w:szCs w:val="22"/>
        </w:rPr>
        <w:t xml:space="preserve"> са повече с около 70 %. Спрямо 2010 г. отрицателният прираст е около </w:t>
      </w:r>
      <w:r w:rsidR="0003282C" w:rsidRPr="004C1D8B">
        <w:rPr>
          <w:rFonts w:ascii="Tahoma" w:hAnsi="Tahoma" w:cs="Tahoma"/>
          <w:szCs w:val="22"/>
        </w:rPr>
        <w:t>6</w:t>
      </w:r>
      <w:r w:rsidRPr="004C1D8B">
        <w:rPr>
          <w:rFonts w:ascii="Tahoma" w:hAnsi="Tahoma" w:cs="Tahoma"/>
          <w:szCs w:val="22"/>
        </w:rPr>
        <w:t xml:space="preserve"> %</w:t>
      </w:r>
      <w:r w:rsidR="005762F9" w:rsidRPr="004C1D8B">
        <w:rPr>
          <w:rFonts w:ascii="Tahoma" w:hAnsi="Tahoma" w:cs="Tahoma"/>
          <w:szCs w:val="22"/>
        </w:rPr>
        <w:t>.</w:t>
      </w:r>
    </w:p>
    <w:p w:rsidR="00A60A95" w:rsidRPr="004C1D8B" w:rsidRDefault="00A60A95" w:rsidP="00A60A95">
      <w:pPr>
        <w:spacing w:after="120"/>
        <w:jc w:val="center"/>
        <w:rPr>
          <w:rFonts w:ascii="Tahoma" w:hAnsi="Tahoma" w:cs="Tahoma"/>
          <w:szCs w:val="22"/>
        </w:rPr>
      </w:pPr>
      <w:r w:rsidRPr="004C1D8B">
        <w:rPr>
          <w:noProof/>
          <w:sz w:val="28"/>
          <w:lang w:eastAsia="bg-BG"/>
        </w:rPr>
        <w:drawing>
          <wp:inline distT="0" distB="0" distL="0" distR="0" wp14:anchorId="1D14928C" wp14:editId="3946CBAB">
            <wp:extent cx="4572000" cy="20859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01B3" w:rsidRPr="004C1D8B" w:rsidRDefault="000801B3" w:rsidP="00902349">
      <w:pPr>
        <w:spacing w:after="120"/>
        <w:ind w:firstLine="426"/>
        <w:jc w:val="both"/>
        <w:rPr>
          <w:rFonts w:ascii="Tahoma" w:hAnsi="Tahoma" w:cs="Tahoma"/>
          <w:szCs w:val="22"/>
        </w:rPr>
      </w:pPr>
      <w:r w:rsidRPr="004C1D8B">
        <w:rPr>
          <w:rFonts w:ascii="Tahoma" w:hAnsi="Tahoma" w:cs="Tahoma"/>
          <w:szCs w:val="22"/>
        </w:rPr>
        <w:t xml:space="preserve">Това показва, че и през следващите години </w:t>
      </w:r>
      <w:r w:rsidRPr="004C1D8B">
        <w:rPr>
          <w:rFonts w:ascii="Tahoma" w:hAnsi="Tahoma" w:cs="Tahoma"/>
          <w:b/>
          <w:szCs w:val="22"/>
        </w:rPr>
        <w:t>производствената активност на предприятията</w:t>
      </w:r>
      <w:r w:rsidR="005762F9" w:rsidRPr="004C1D8B">
        <w:rPr>
          <w:rFonts w:ascii="Tahoma" w:hAnsi="Tahoma" w:cs="Tahoma"/>
          <w:b/>
          <w:szCs w:val="22"/>
        </w:rPr>
        <w:t xml:space="preserve"> </w:t>
      </w:r>
      <w:r w:rsidRPr="004C1D8B">
        <w:rPr>
          <w:rFonts w:ascii="Tahoma" w:hAnsi="Tahoma" w:cs="Tahoma"/>
          <w:b/>
          <w:szCs w:val="22"/>
        </w:rPr>
        <w:t>няма да осигурява достатъчно средства за изплащане на задълженията. Съществува опасност от възпроизвеждане на тези задължения в следващите години при слаб растеж на икономиката.</w:t>
      </w:r>
      <w:r w:rsidR="000E4043" w:rsidRPr="004C1D8B">
        <w:rPr>
          <w:rFonts w:ascii="Tahoma" w:hAnsi="Tahoma" w:cs="Tahoma"/>
          <w:b/>
          <w:szCs w:val="22"/>
        </w:rPr>
        <w:t xml:space="preserve"> </w:t>
      </w:r>
      <w:r w:rsidRPr="004C1D8B">
        <w:rPr>
          <w:rFonts w:ascii="Tahoma" w:hAnsi="Tahoma" w:cs="Tahoma"/>
          <w:szCs w:val="22"/>
        </w:rPr>
        <w:t>Основният проблем е дали дълговете ще блокират дългосрочно растежа или растежът ще намали риска от свръхзадлъжнялост.</w:t>
      </w:r>
    </w:p>
    <w:p w:rsidR="0003282C" w:rsidRPr="004C1D8B" w:rsidRDefault="00084AB2" w:rsidP="0003282C">
      <w:pPr>
        <w:shd w:val="clear" w:color="auto" w:fill="C6D9F1"/>
        <w:spacing w:after="120"/>
        <w:ind w:firstLine="426"/>
        <w:jc w:val="both"/>
        <w:rPr>
          <w:rFonts w:ascii="Tahoma" w:hAnsi="Tahoma" w:cs="Tahoma"/>
          <w:b/>
          <w:bCs/>
          <w:i/>
          <w:iCs/>
          <w:caps/>
          <w:szCs w:val="22"/>
        </w:rPr>
      </w:pPr>
      <w:r w:rsidRPr="004C1D8B">
        <w:rPr>
          <w:rFonts w:ascii="Tahoma" w:hAnsi="Tahoma" w:cs="Tahoma"/>
          <w:b/>
          <w:bCs/>
          <w:i/>
          <w:iCs/>
          <w:caps/>
          <w:szCs w:val="22"/>
          <w:lang w:val="en-US"/>
        </w:rPr>
        <w:lastRenderedPageBreak/>
        <w:t>I</w:t>
      </w:r>
      <w:r w:rsidR="0003282C" w:rsidRPr="004C1D8B">
        <w:rPr>
          <w:rFonts w:ascii="Tahoma" w:hAnsi="Tahoma" w:cs="Tahoma"/>
          <w:b/>
          <w:bCs/>
          <w:i/>
          <w:iCs/>
          <w:caps/>
          <w:szCs w:val="22"/>
          <w:lang w:val="en-US"/>
        </w:rPr>
        <w:t>i</w:t>
      </w:r>
      <w:r w:rsidR="0003282C" w:rsidRPr="004C1D8B">
        <w:rPr>
          <w:rFonts w:ascii="Tahoma" w:hAnsi="Tahoma" w:cs="Tahoma"/>
          <w:b/>
          <w:bCs/>
          <w:i/>
          <w:iCs/>
          <w:caps/>
          <w:szCs w:val="22"/>
        </w:rPr>
        <w:t>. Срочност на задълженията</w:t>
      </w:r>
    </w:p>
    <w:p w:rsidR="0003282C" w:rsidRPr="004C1D8B" w:rsidRDefault="0003282C" w:rsidP="0003282C">
      <w:pPr>
        <w:spacing w:after="120"/>
        <w:ind w:firstLine="425"/>
        <w:jc w:val="both"/>
        <w:rPr>
          <w:rFonts w:ascii="Tahoma" w:hAnsi="Tahoma" w:cs="Tahoma"/>
          <w:szCs w:val="22"/>
          <w:lang w:val="en-US"/>
        </w:rPr>
      </w:pPr>
      <w:r w:rsidRPr="004C1D8B">
        <w:rPr>
          <w:rFonts w:ascii="Tahoma" w:hAnsi="Tahoma" w:cs="Tahoma"/>
          <w:szCs w:val="22"/>
        </w:rPr>
        <w:t>През последните година настъпиха изменения и в структурата на задълженията в зависимост от срока на тяхната изискуемост – дългосрочни (над 1 г.) и краткосрочни (до 1 г.). Преобладаващият ръст на краткосрочните задължения е и в резултат на осигуряване на повече оборотни средства за производствена дейност на предприятията, преструктуриране на задълженията към финансовия сектор, разсрочване на държавните плащания и т.н.</w:t>
      </w:r>
    </w:p>
    <w:p w:rsidR="0003282C" w:rsidRPr="004C1D8B" w:rsidRDefault="0003282C" w:rsidP="0003282C">
      <w:pPr>
        <w:spacing w:after="120"/>
        <w:jc w:val="center"/>
        <w:rPr>
          <w:rFonts w:ascii="Tahoma" w:hAnsi="Tahoma" w:cs="Tahoma"/>
          <w:szCs w:val="22"/>
        </w:rPr>
      </w:pPr>
      <w:r w:rsidRPr="004C1D8B">
        <w:rPr>
          <w:noProof/>
          <w:sz w:val="28"/>
          <w:lang w:eastAsia="bg-BG"/>
        </w:rPr>
        <w:drawing>
          <wp:inline distT="0" distB="0" distL="0" distR="0" wp14:anchorId="024DFBAD" wp14:editId="04BCCDD4">
            <wp:extent cx="3971925" cy="1876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82C" w:rsidRPr="004C1D8B" w:rsidRDefault="00461272" w:rsidP="0003282C">
      <w:pPr>
        <w:spacing w:after="120"/>
        <w:ind w:firstLine="426"/>
        <w:jc w:val="both"/>
        <w:rPr>
          <w:rFonts w:ascii="Tahoma" w:hAnsi="Tahoma" w:cs="Tahoma"/>
          <w:szCs w:val="22"/>
        </w:rPr>
      </w:pPr>
      <w:r w:rsidRPr="004C1D8B">
        <w:rPr>
          <w:rFonts w:ascii="Tahoma" w:hAnsi="Tahoma" w:cs="Tahoma"/>
          <w:b/>
          <w:bCs/>
          <w:i/>
          <w:iCs/>
          <w:szCs w:val="22"/>
          <w:lang w:val="en-US"/>
        </w:rPr>
        <w:t>II</w:t>
      </w:r>
      <w:r w:rsidR="0003282C" w:rsidRPr="004C1D8B">
        <w:rPr>
          <w:rFonts w:ascii="Tahoma" w:hAnsi="Tahoma" w:cs="Tahoma"/>
          <w:b/>
          <w:bCs/>
          <w:i/>
          <w:iCs/>
          <w:szCs w:val="22"/>
        </w:rPr>
        <w:t>.1. Дългосрочни задължения</w:t>
      </w:r>
    </w:p>
    <w:p w:rsidR="0003282C" w:rsidRPr="004C1D8B" w:rsidRDefault="0003282C" w:rsidP="004C1D8B">
      <w:pPr>
        <w:ind w:firstLine="425"/>
        <w:jc w:val="both"/>
        <w:rPr>
          <w:rFonts w:ascii="Tahoma" w:hAnsi="Tahoma" w:cs="Tahoma"/>
          <w:szCs w:val="22"/>
        </w:rPr>
      </w:pPr>
      <w:r w:rsidRPr="004C1D8B">
        <w:rPr>
          <w:rFonts w:ascii="Tahoma" w:hAnsi="Tahoma" w:cs="Tahoma"/>
          <w:szCs w:val="22"/>
        </w:rPr>
        <w:t>Към 31.12.2011 г. дългосрочните задължения са 74.4 млрд. лв. В сравнение с 2010 г. те са по-малко с 803 млн. лева, или с -1,1</w:t>
      </w:r>
      <w:r w:rsidR="00C71576" w:rsidRPr="004C1D8B">
        <w:rPr>
          <w:rFonts w:ascii="Tahoma" w:hAnsi="Tahoma" w:cs="Tahoma"/>
          <w:szCs w:val="22"/>
        </w:rPr>
        <w:t xml:space="preserve"> %, в т.ч.:</w:t>
      </w:r>
    </w:p>
    <w:p w:rsidR="0003282C" w:rsidRPr="004C1D8B" w:rsidRDefault="0003282C" w:rsidP="00C71576">
      <w:pPr>
        <w:pStyle w:val="ListParagraph"/>
        <w:numPr>
          <w:ilvl w:val="0"/>
          <w:numId w:val="20"/>
        </w:numPr>
        <w:spacing w:after="120"/>
        <w:jc w:val="both"/>
        <w:rPr>
          <w:rFonts w:ascii="Tahoma" w:hAnsi="Tahoma" w:cs="Tahoma"/>
          <w:szCs w:val="22"/>
        </w:rPr>
      </w:pPr>
      <w:r w:rsidRPr="004C1D8B">
        <w:rPr>
          <w:rFonts w:ascii="Tahoma" w:hAnsi="Tahoma" w:cs="Tahoma"/>
          <w:szCs w:val="22"/>
        </w:rPr>
        <w:t xml:space="preserve">дългосрочните задължения към </w:t>
      </w:r>
      <w:r w:rsidRPr="004C1D8B">
        <w:rPr>
          <w:rFonts w:ascii="Tahoma" w:hAnsi="Tahoma" w:cs="Tahoma"/>
          <w:szCs w:val="22"/>
          <w:u w:val="single"/>
        </w:rPr>
        <w:t xml:space="preserve">финансовите предприятия </w:t>
      </w:r>
      <w:r w:rsidRPr="004C1D8B">
        <w:rPr>
          <w:rFonts w:ascii="Tahoma" w:hAnsi="Tahoma" w:cs="Tahoma"/>
          <w:szCs w:val="22"/>
        </w:rPr>
        <w:t xml:space="preserve">са </w:t>
      </w:r>
      <w:r w:rsidR="00C71576" w:rsidRPr="004C1D8B">
        <w:rPr>
          <w:rFonts w:ascii="Tahoma" w:hAnsi="Tahoma" w:cs="Tahoma"/>
          <w:szCs w:val="22"/>
        </w:rPr>
        <w:t xml:space="preserve">31,018 млрд.лв., което е с </w:t>
      </w:r>
      <w:r w:rsidRPr="004C1D8B">
        <w:rPr>
          <w:rFonts w:ascii="Tahoma" w:hAnsi="Tahoma" w:cs="Tahoma"/>
          <w:szCs w:val="22"/>
        </w:rPr>
        <w:t xml:space="preserve">1,2 млрд. лв. по-малко (-3,6%) спрямо края на 2010 г. </w:t>
      </w:r>
    </w:p>
    <w:p w:rsidR="0003282C" w:rsidRPr="004C1D8B" w:rsidRDefault="00C71576" w:rsidP="00C71576">
      <w:pPr>
        <w:pStyle w:val="ListParagraph"/>
        <w:numPr>
          <w:ilvl w:val="0"/>
          <w:numId w:val="20"/>
        </w:numPr>
        <w:spacing w:after="120"/>
        <w:jc w:val="both"/>
        <w:rPr>
          <w:rFonts w:ascii="Tahoma" w:hAnsi="Tahoma" w:cs="Tahoma"/>
          <w:szCs w:val="22"/>
        </w:rPr>
      </w:pPr>
      <w:r w:rsidRPr="004C1D8B">
        <w:rPr>
          <w:rFonts w:ascii="Tahoma" w:hAnsi="Tahoma" w:cs="Tahoma"/>
          <w:szCs w:val="22"/>
        </w:rPr>
        <w:t>дългосрочните</w:t>
      </w:r>
      <w:r w:rsidR="0003282C" w:rsidRPr="004C1D8B">
        <w:rPr>
          <w:rFonts w:ascii="Tahoma" w:hAnsi="Tahoma" w:cs="Tahoma"/>
          <w:szCs w:val="22"/>
        </w:rPr>
        <w:t xml:space="preserve"> задължения по </w:t>
      </w:r>
      <w:r w:rsidR="0003282C" w:rsidRPr="004C1D8B">
        <w:rPr>
          <w:rFonts w:ascii="Tahoma" w:hAnsi="Tahoma" w:cs="Tahoma"/>
          <w:szCs w:val="22"/>
          <w:u w:val="single"/>
        </w:rPr>
        <w:t>облигационни заеми</w:t>
      </w:r>
      <w:r w:rsidR="0003282C" w:rsidRPr="004C1D8B">
        <w:rPr>
          <w:rFonts w:ascii="Tahoma" w:hAnsi="Tahoma" w:cs="Tahoma"/>
          <w:szCs w:val="22"/>
        </w:rPr>
        <w:t xml:space="preserve"> са 1.</w:t>
      </w:r>
      <w:r w:rsidRPr="004C1D8B">
        <w:rPr>
          <w:rFonts w:ascii="Tahoma" w:hAnsi="Tahoma" w:cs="Tahoma"/>
          <w:szCs w:val="22"/>
        </w:rPr>
        <w:t>142</w:t>
      </w:r>
      <w:r w:rsidR="0003282C" w:rsidRPr="004C1D8B">
        <w:rPr>
          <w:rFonts w:ascii="Tahoma" w:hAnsi="Tahoma" w:cs="Tahoma"/>
          <w:szCs w:val="22"/>
        </w:rPr>
        <w:t xml:space="preserve"> млрд. лв.</w:t>
      </w:r>
      <w:r w:rsidR="004D5B68" w:rsidRPr="004C1D8B">
        <w:rPr>
          <w:rFonts w:ascii="Tahoma" w:hAnsi="Tahoma" w:cs="Tahoma"/>
          <w:szCs w:val="22"/>
        </w:rPr>
        <w:t>, което е 154 млн.лв. повече</w:t>
      </w:r>
      <w:r w:rsidR="0003282C" w:rsidRPr="004C1D8B">
        <w:rPr>
          <w:rFonts w:ascii="Tahoma" w:hAnsi="Tahoma" w:cs="Tahoma"/>
          <w:szCs w:val="22"/>
        </w:rPr>
        <w:t xml:space="preserve"> (</w:t>
      </w:r>
      <w:r w:rsidR="004D5B68" w:rsidRPr="004C1D8B">
        <w:rPr>
          <w:rFonts w:ascii="Tahoma" w:hAnsi="Tahoma" w:cs="Tahoma"/>
          <w:szCs w:val="22"/>
        </w:rPr>
        <w:t>15,6</w:t>
      </w:r>
      <w:r w:rsidR="0003282C" w:rsidRPr="004C1D8B">
        <w:rPr>
          <w:rFonts w:ascii="Tahoma" w:hAnsi="Tahoma" w:cs="Tahoma"/>
          <w:szCs w:val="22"/>
        </w:rPr>
        <w:t>%)</w:t>
      </w:r>
      <w:r w:rsidR="004D5B68" w:rsidRPr="004C1D8B">
        <w:rPr>
          <w:rFonts w:ascii="Tahoma" w:hAnsi="Tahoma" w:cs="Tahoma"/>
          <w:szCs w:val="22"/>
        </w:rPr>
        <w:t xml:space="preserve"> спрямо 2010 г.</w:t>
      </w:r>
    </w:p>
    <w:p w:rsidR="0003282C" w:rsidRPr="004C1D8B" w:rsidRDefault="00461272" w:rsidP="0003282C">
      <w:pPr>
        <w:spacing w:after="120"/>
        <w:ind w:firstLine="425"/>
        <w:jc w:val="both"/>
        <w:rPr>
          <w:rFonts w:ascii="Tahoma" w:hAnsi="Tahoma" w:cs="Tahoma"/>
          <w:szCs w:val="22"/>
        </w:rPr>
      </w:pPr>
      <w:r w:rsidRPr="004C1D8B">
        <w:rPr>
          <w:rFonts w:ascii="Tahoma" w:hAnsi="Tahoma" w:cs="Tahoma"/>
          <w:b/>
          <w:bCs/>
          <w:i/>
          <w:iCs/>
          <w:szCs w:val="22"/>
          <w:lang w:val="en-US"/>
        </w:rPr>
        <w:t>II</w:t>
      </w:r>
      <w:r w:rsidR="0003282C" w:rsidRPr="004C1D8B">
        <w:rPr>
          <w:rFonts w:ascii="Tahoma" w:hAnsi="Tahoma" w:cs="Tahoma"/>
          <w:b/>
          <w:bCs/>
          <w:i/>
          <w:iCs/>
          <w:szCs w:val="22"/>
        </w:rPr>
        <w:t>.2. Краткосрочни задължения</w:t>
      </w:r>
    </w:p>
    <w:p w:rsidR="0003282C" w:rsidRPr="004C1D8B" w:rsidRDefault="0003282C" w:rsidP="0003282C">
      <w:pPr>
        <w:spacing w:after="120"/>
        <w:ind w:firstLine="425"/>
        <w:jc w:val="both"/>
        <w:rPr>
          <w:rFonts w:ascii="Tahoma" w:hAnsi="Tahoma" w:cs="Tahoma"/>
          <w:szCs w:val="22"/>
        </w:rPr>
      </w:pPr>
      <w:r w:rsidRPr="004C1D8B">
        <w:rPr>
          <w:rFonts w:ascii="Tahoma" w:hAnsi="Tahoma" w:cs="Tahoma"/>
          <w:szCs w:val="22"/>
        </w:rPr>
        <w:t xml:space="preserve">През 2011 г. има значително увеличение на краткосрочните задължения. Към </w:t>
      </w:r>
      <w:r w:rsidR="004D5B68" w:rsidRPr="004C1D8B">
        <w:rPr>
          <w:rFonts w:ascii="Tahoma" w:hAnsi="Tahoma" w:cs="Tahoma"/>
          <w:szCs w:val="22"/>
        </w:rPr>
        <w:t xml:space="preserve">края на </w:t>
      </w:r>
      <w:r w:rsidRPr="004C1D8B">
        <w:rPr>
          <w:rFonts w:ascii="Tahoma" w:hAnsi="Tahoma" w:cs="Tahoma"/>
          <w:szCs w:val="22"/>
        </w:rPr>
        <w:t>2011 г. те са 88.7 млрд. лв. Спрямо края на 2010 г. увеличението е с 6 млрд. лв. (7,2 %). Това показва, че дейността на нефинансовите предприятия все повече се затруднява от недостатъчните оборотни средства, с които те обслужват производствената си дейност.</w:t>
      </w:r>
    </w:p>
    <w:p w:rsidR="0003282C" w:rsidRPr="004C1D8B" w:rsidRDefault="0003282C" w:rsidP="0003282C">
      <w:pPr>
        <w:spacing w:after="120"/>
        <w:ind w:firstLine="425"/>
        <w:jc w:val="both"/>
        <w:rPr>
          <w:rFonts w:ascii="Tahoma" w:hAnsi="Tahoma" w:cs="Tahoma"/>
          <w:szCs w:val="22"/>
        </w:rPr>
      </w:pPr>
      <w:r w:rsidRPr="004C1D8B">
        <w:rPr>
          <w:rFonts w:ascii="Tahoma" w:hAnsi="Tahoma" w:cs="Tahoma"/>
          <w:szCs w:val="22"/>
          <w:u w:val="single"/>
        </w:rPr>
        <w:t xml:space="preserve">Краткосрочните заеми от финансовите предприятия </w:t>
      </w:r>
      <w:r w:rsidRPr="004C1D8B">
        <w:rPr>
          <w:rFonts w:ascii="Tahoma" w:hAnsi="Tahoma" w:cs="Tahoma"/>
          <w:szCs w:val="22"/>
        </w:rPr>
        <w:t>в края на 2011 г. са 17.8 млрд. лева. В сравнение с 2010 г. те са повече с 3,421 млрд.лв. (23,7 %).</w:t>
      </w:r>
    </w:p>
    <w:p w:rsidR="004D5B68" w:rsidRPr="004C1D8B" w:rsidRDefault="004D5B68" w:rsidP="0003282C">
      <w:pPr>
        <w:spacing w:after="120"/>
        <w:ind w:firstLine="425"/>
        <w:jc w:val="both"/>
        <w:rPr>
          <w:rFonts w:ascii="Tahoma" w:hAnsi="Tahoma" w:cs="Tahoma"/>
          <w:szCs w:val="22"/>
        </w:rPr>
      </w:pPr>
      <w:r w:rsidRPr="004C1D8B">
        <w:rPr>
          <w:rFonts w:ascii="Tahoma" w:hAnsi="Tahoma" w:cs="Tahoma"/>
          <w:szCs w:val="22"/>
          <w:u w:val="single"/>
        </w:rPr>
        <w:t>К</w:t>
      </w:r>
      <w:r w:rsidR="0003282C" w:rsidRPr="004C1D8B">
        <w:rPr>
          <w:rFonts w:ascii="Tahoma" w:hAnsi="Tahoma" w:cs="Tahoma"/>
          <w:szCs w:val="22"/>
          <w:u w:val="single"/>
        </w:rPr>
        <w:t xml:space="preserve">раткосрочните данъчни задължения </w:t>
      </w:r>
      <w:r w:rsidRPr="004C1D8B">
        <w:rPr>
          <w:rFonts w:ascii="Tahoma" w:hAnsi="Tahoma" w:cs="Tahoma"/>
          <w:szCs w:val="22"/>
        </w:rPr>
        <w:t xml:space="preserve">в края на 2011 г. </w:t>
      </w:r>
      <w:r w:rsidR="0003282C" w:rsidRPr="004C1D8B">
        <w:rPr>
          <w:rFonts w:ascii="Tahoma" w:hAnsi="Tahoma" w:cs="Tahoma"/>
          <w:szCs w:val="22"/>
        </w:rPr>
        <w:t xml:space="preserve">са 3,668 млрд. лева. В сравнение с края на 2010 г. те са по-малко с 437 млн. лева (-11,9%). </w:t>
      </w:r>
    </w:p>
    <w:p w:rsidR="000801B3" w:rsidRPr="004C1D8B" w:rsidRDefault="000801B3" w:rsidP="00902349">
      <w:pPr>
        <w:spacing w:after="120"/>
        <w:ind w:firstLine="720"/>
        <w:jc w:val="both"/>
        <w:rPr>
          <w:rFonts w:ascii="Tahoma" w:hAnsi="Tahoma" w:cs="Tahoma"/>
          <w:b/>
          <w:sz w:val="6"/>
          <w:szCs w:val="22"/>
        </w:rPr>
      </w:pPr>
    </w:p>
    <w:p w:rsidR="000801B3" w:rsidRPr="004C1D8B" w:rsidRDefault="000801B3" w:rsidP="00902349">
      <w:pPr>
        <w:shd w:val="clear" w:color="auto" w:fill="C6D9F1"/>
        <w:spacing w:after="120"/>
        <w:ind w:firstLine="426"/>
        <w:jc w:val="both"/>
        <w:rPr>
          <w:rFonts w:ascii="Tahoma" w:hAnsi="Tahoma" w:cs="Tahoma"/>
          <w:b/>
          <w:bCs/>
          <w:i/>
          <w:iCs/>
          <w:szCs w:val="22"/>
        </w:rPr>
      </w:pPr>
      <w:r w:rsidRPr="004C1D8B">
        <w:rPr>
          <w:rFonts w:ascii="Tahoma" w:hAnsi="Tahoma" w:cs="Tahoma"/>
          <w:b/>
          <w:bCs/>
          <w:i/>
          <w:iCs/>
          <w:szCs w:val="22"/>
        </w:rPr>
        <w:t>ІІ</w:t>
      </w:r>
      <w:r w:rsidR="00084AB2" w:rsidRPr="004C1D8B">
        <w:rPr>
          <w:rFonts w:ascii="Tahoma" w:hAnsi="Tahoma" w:cs="Tahoma"/>
          <w:b/>
          <w:bCs/>
          <w:i/>
          <w:iCs/>
          <w:szCs w:val="22"/>
          <w:lang w:val="en-US"/>
        </w:rPr>
        <w:t>I</w:t>
      </w:r>
      <w:r w:rsidRPr="004C1D8B">
        <w:rPr>
          <w:rFonts w:ascii="Tahoma" w:hAnsi="Tahoma" w:cs="Tahoma"/>
          <w:b/>
          <w:bCs/>
          <w:i/>
          <w:iCs/>
          <w:szCs w:val="22"/>
        </w:rPr>
        <w:t>. СТРУКТУРА НА ЗАДЪЛЖЕНИЯТА</w:t>
      </w:r>
    </w:p>
    <w:p w:rsidR="00600B4A" w:rsidRPr="004C1D8B" w:rsidRDefault="00461272" w:rsidP="00461272">
      <w:pPr>
        <w:spacing w:before="120" w:after="120"/>
        <w:ind w:left="425"/>
        <w:jc w:val="both"/>
        <w:rPr>
          <w:rFonts w:ascii="Tahoma" w:hAnsi="Tahoma" w:cs="Tahoma"/>
          <w:b/>
          <w:szCs w:val="22"/>
          <w:u w:val="double"/>
        </w:rPr>
      </w:pPr>
      <w:r w:rsidRPr="004C1D8B">
        <w:rPr>
          <w:rFonts w:ascii="Tahoma" w:hAnsi="Tahoma" w:cs="Tahoma"/>
          <w:b/>
          <w:szCs w:val="22"/>
          <w:u w:val="double"/>
          <w:lang w:val="en-US"/>
        </w:rPr>
        <w:t xml:space="preserve">III.1. </w:t>
      </w:r>
      <w:r w:rsidR="00600B4A" w:rsidRPr="004C1D8B">
        <w:rPr>
          <w:rFonts w:ascii="Tahoma" w:hAnsi="Tahoma" w:cs="Tahoma"/>
          <w:b/>
          <w:szCs w:val="22"/>
          <w:u w:val="double"/>
        </w:rPr>
        <w:t>Структура на задълженията по икономически дейности</w:t>
      </w:r>
    </w:p>
    <w:p w:rsidR="00600B4A" w:rsidRPr="004C1D8B" w:rsidRDefault="00600B4A" w:rsidP="00600B4A">
      <w:pPr>
        <w:spacing w:after="120"/>
        <w:ind w:firstLine="426"/>
        <w:jc w:val="both"/>
        <w:rPr>
          <w:rFonts w:ascii="Tahoma" w:hAnsi="Tahoma" w:cs="Tahoma"/>
          <w:szCs w:val="22"/>
        </w:rPr>
      </w:pPr>
      <w:r w:rsidRPr="004C1D8B">
        <w:rPr>
          <w:rFonts w:ascii="Tahoma" w:hAnsi="Tahoma" w:cs="Tahoma"/>
          <w:szCs w:val="22"/>
        </w:rPr>
        <w:t>В края на 2011 г. задълженията са най-големи в дейностите:</w:t>
      </w:r>
    </w:p>
    <w:tbl>
      <w:tblPr>
        <w:tblW w:w="992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8897"/>
        <w:gridCol w:w="1029"/>
      </w:tblGrid>
      <w:tr w:rsidR="00600B4A" w:rsidRPr="004C1D8B" w:rsidTr="004C1D8B">
        <w:trPr>
          <w:trHeight w:val="162"/>
        </w:trPr>
        <w:tc>
          <w:tcPr>
            <w:tcW w:w="8897" w:type="dxa"/>
            <w:shd w:val="clear" w:color="auto" w:fill="C6D9F1"/>
            <w:vAlign w:val="center"/>
          </w:tcPr>
          <w:p w:rsidR="00600B4A" w:rsidRPr="004C1D8B" w:rsidRDefault="00600B4A" w:rsidP="00420337">
            <w:pPr>
              <w:jc w:val="center"/>
              <w:rPr>
                <w:rFonts w:ascii="Tahoma" w:hAnsi="Tahoma" w:cs="Tahoma"/>
                <w:bCs/>
                <w:i/>
                <w:sz w:val="18"/>
              </w:rPr>
            </w:pPr>
            <w:r w:rsidRPr="004C1D8B">
              <w:rPr>
                <w:rFonts w:ascii="Tahoma" w:hAnsi="Tahoma" w:cs="Tahoma"/>
                <w:bCs/>
                <w:i/>
                <w:sz w:val="18"/>
                <w:szCs w:val="22"/>
              </w:rPr>
              <w:t>Дейност</w:t>
            </w:r>
          </w:p>
        </w:tc>
        <w:tc>
          <w:tcPr>
            <w:tcW w:w="1029" w:type="dxa"/>
            <w:shd w:val="clear" w:color="auto" w:fill="C6D9F1"/>
            <w:vAlign w:val="center"/>
          </w:tcPr>
          <w:p w:rsidR="00600B4A" w:rsidRPr="004C1D8B" w:rsidRDefault="00600B4A" w:rsidP="004C1D8B">
            <w:pPr>
              <w:ind w:firstLine="16"/>
              <w:jc w:val="center"/>
              <w:rPr>
                <w:rFonts w:ascii="Tahoma" w:hAnsi="Tahoma" w:cs="Tahoma"/>
                <w:bCs/>
                <w:i/>
                <w:sz w:val="18"/>
              </w:rPr>
            </w:pPr>
            <w:r w:rsidRPr="004C1D8B">
              <w:rPr>
                <w:rFonts w:ascii="Tahoma" w:hAnsi="Tahoma" w:cs="Tahoma"/>
                <w:bCs/>
                <w:i/>
                <w:sz w:val="18"/>
                <w:szCs w:val="22"/>
              </w:rPr>
              <w:t>Млрд.лв.</w:t>
            </w:r>
          </w:p>
        </w:tc>
      </w:tr>
      <w:tr w:rsidR="00600B4A" w:rsidRPr="004C1D8B" w:rsidTr="004C1D8B">
        <w:trPr>
          <w:trHeight w:val="310"/>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Търговия</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35,7</w:t>
            </w:r>
          </w:p>
        </w:tc>
      </w:tr>
      <w:tr w:rsidR="00600B4A" w:rsidRPr="004C1D8B" w:rsidTr="004C1D8B">
        <w:trPr>
          <w:trHeight w:val="190"/>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Операции с недвижими имоти</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25,2</w:t>
            </w:r>
          </w:p>
        </w:tc>
      </w:tr>
      <w:tr w:rsidR="00600B4A" w:rsidRPr="004C1D8B" w:rsidTr="004C1D8B">
        <w:trPr>
          <w:trHeight w:val="190"/>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Строителство</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18,7</w:t>
            </w:r>
          </w:p>
        </w:tc>
      </w:tr>
      <w:tr w:rsidR="00600B4A" w:rsidRPr="004C1D8B" w:rsidTr="004C1D8B">
        <w:trPr>
          <w:trHeight w:val="323"/>
        </w:trPr>
        <w:tc>
          <w:tcPr>
            <w:tcW w:w="8897" w:type="dxa"/>
          </w:tcPr>
          <w:p w:rsidR="00600B4A" w:rsidRPr="004C1D8B" w:rsidRDefault="00600B4A" w:rsidP="004C1D8B">
            <w:pPr>
              <w:rPr>
                <w:rFonts w:ascii="Tahoma" w:hAnsi="Tahoma" w:cs="Tahoma"/>
                <w:sz w:val="28"/>
              </w:rPr>
            </w:pPr>
            <w:r w:rsidRPr="004C1D8B">
              <w:rPr>
                <w:rFonts w:ascii="Tahoma" w:hAnsi="Tahoma" w:cs="Tahoma"/>
                <w:szCs w:val="22"/>
              </w:rPr>
              <w:t>Производство и разпространение на ел</w:t>
            </w:r>
            <w:r w:rsidR="0003282C" w:rsidRPr="004C1D8B">
              <w:rPr>
                <w:rFonts w:ascii="Tahoma" w:hAnsi="Tahoma" w:cs="Tahoma"/>
                <w:szCs w:val="22"/>
              </w:rPr>
              <w:t xml:space="preserve">. </w:t>
            </w:r>
            <w:r w:rsidR="004C1D8B">
              <w:rPr>
                <w:rFonts w:ascii="Tahoma" w:hAnsi="Tahoma" w:cs="Tahoma"/>
                <w:szCs w:val="22"/>
              </w:rPr>
              <w:t>и</w:t>
            </w:r>
            <w:r w:rsidRPr="004C1D8B">
              <w:rPr>
                <w:rFonts w:ascii="Tahoma" w:hAnsi="Tahoma" w:cs="Tahoma"/>
                <w:szCs w:val="22"/>
              </w:rPr>
              <w:t xml:space="preserve"> топл</w:t>
            </w:r>
            <w:r w:rsidR="004C1D8B">
              <w:rPr>
                <w:rFonts w:ascii="Tahoma" w:hAnsi="Tahoma" w:cs="Tahoma"/>
                <w:szCs w:val="22"/>
              </w:rPr>
              <w:t>о</w:t>
            </w:r>
            <w:r w:rsidRPr="004C1D8B">
              <w:rPr>
                <w:rFonts w:ascii="Tahoma" w:hAnsi="Tahoma" w:cs="Tahoma"/>
                <w:szCs w:val="22"/>
              </w:rPr>
              <w:t>енергия и газообр</w:t>
            </w:r>
            <w:r w:rsidR="004C1D8B">
              <w:rPr>
                <w:rFonts w:ascii="Tahoma" w:hAnsi="Tahoma" w:cs="Tahoma"/>
                <w:szCs w:val="22"/>
              </w:rPr>
              <w:t>.</w:t>
            </w:r>
            <w:r w:rsidRPr="004C1D8B">
              <w:rPr>
                <w:rFonts w:ascii="Tahoma" w:hAnsi="Tahoma" w:cs="Tahoma"/>
                <w:szCs w:val="22"/>
              </w:rPr>
              <w:t xml:space="preserve"> горива</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13,0</w:t>
            </w:r>
          </w:p>
        </w:tc>
      </w:tr>
      <w:tr w:rsidR="00600B4A" w:rsidRPr="004C1D8B" w:rsidTr="004C1D8B">
        <w:trPr>
          <w:trHeight w:val="23"/>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Транспорт, складиране и пощи</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7,1</w:t>
            </w:r>
          </w:p>
        </w:tc>
      </w:tr>
      <w:tr w:rsidR="00600B4A" w:rsidRPr="004C1D8B" w:rsidTr="004C1D8B">
        <w:trPr>
          <w:trHeight w:val="23"/>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Далекосъобщения</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7,1</w:t>
            </w:r>
          </w:p>
        </w:tc>
      </w:tr>
      <w:tr w:rsidR="00600B4A" w:rsidRPr="004C1D8B" w:rsidTr="004C1D8B">
        <w:trPr>
          <w:trHeight w:val="130"/>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Производство на хранителни продукти, напитки и тютюневи изделия</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6,1</w:t>
            </w:r>
          </w:p>
        </w:tc>
      </w:tr>
      <w:tr w:rsidR="00600B4A" w:rsidRPr="004C1D8B" w:rsidTr="004C1D8B">
        <w:trPr>
          <w:trHeight w:val="23"/>
        </w:trPr>
        <w:tc>
          <w:tcPr>
            <w:tcW w:w="8897" w:type="dxa"/>
          </w:tcPr>
          <w:p w:rsidR="00600B4A" w:rsidRPr="004C1D8B" w:rsidRDefault="00600B4A" w:rsidP="00420337">
            <w:pPr>
              <w:rPr>
                <w:rFonts w:ascii="Tahoma" w:hAnsi="Tahoma" w:cs="Tahoma"/>
                <w:sz w:val="28"/>
              </w:rPr>
            </w:pPr>
            <w:r w:rsidRPr="004C1D8B">
              <w:rPr>
                <w:rFonts w:ascii="Tahoma" w:hAnsi="Tahoma" w:cs="Tahoma"/>
                <w:szCs w:val="22"/>
              </w:rPr>
              <w:t>Хотелиерство и ресторантьорство</w:t>
            </w:r>
          </w:p>
        </w:tc>
        <w:tc>
          <w:tcPr>
            <w:tcW w:w="1029" w:type="dxa"/>
          </w:tcPr>
          <w:p w:rsidR="00600B4A" w:rsidRPr="004C1D8B" w:rsidRDefault="00600B4A" w:rsidP="00420337">
            <w:pPr>
              <w:jc w:val="right"/>
              <w:rPr>
                <w:rFonts w:ascii="Tahoma" w:hAnsi="Tahoma" w:cs="Tahoma"/>
                <w:sz w:val="28"/>
              </w:rPr>
            </w:pPr>
            <w:r w:rsidRPr="004C1D8B">
              <w:rPr>
                <w:rFonts w:ascii="Tahoma" w:hAnsi="Tahoma" w:cs="Tahoma"/>
                <w:szCs w:val="22"/>
              </w:rPr>
              <w:t>5,5</w:t>
            </w:r>
          </w:p>
        </w:tc>
      </w:tr>
      <w:tr w:rsidR="00600B4A" w:rsidRPr="004C1D8B" w:rsidTr="004C1D8B">
        <w:trPr>
          <w:trHeight w:val="23"/>
        </w:trPr>
        <w:tc>
          <w:tcPr>
            <w:tcW w:w="8897" w:type="dxa"/>
            <w:tcBorders>
              <w:top w:val="single" w:sz="8" w:space="0" w:color="7BA0CD"/>
              <w:left w:val="single" w:sz="8" w:space="0" w:color="7BA0CD"/>
              <w:bottom w:val="single" w:sz="8" w:space="0" w:color="7BA0CD"/>
              <w:right w:val="single" w:sz="8" w:space="0" w:color="7BA0CD"/>
            </w:tcBorders>
          </w:tcPr>
          <w:p w:rsidR="00600B4A" w:rsidRPr="004C1D8B" w:rsidRDefault="00600B4A" w:rsidP="00420337">
            <w:pPr>
              <w:rPr>
                <w:rFonts w:ascii="Tahoma" w:hAnsi="Tahoma" w:cs="Tahoma"/>
                <w:sz w:val="28"/>
              </w:rPr>
            </w:pPr>
            <w:r w:rsidRPr="004C1D8B">
              <w:rPr>
                <w:rFonts w:ascii="Tahoma" w:hAnsi="Tahoma" w:cs="Tahoma"/>
                <w:szCs w:val="22"/>
              </w:rPr>
              <w:t>Производство на основни метали</w:t>
            </w:r>
          </w:p>
        </w:tc>
        <w:tc>
          <w:tcPr>
            <w:tcW w:w="1029" w:type="dxa"/>
            <w:tcBorders>
              <w:top w:val="single" w:sz="8" w:space="0" w:color="7BA0CD"/>
              <w:left w:val="single" w:sz="8" w:space="0" w:color="7BA0CD"/>
              <w:bottom w:val="single" w:sz="8" w:space="0" w:color="7BA0CD"/>
              <w:right w:val="single" w:sz="8" w:space="0" w:color="7BA0CD"/>
            </w:tcBorders>
          </w:tcPr>
          <w:p w:rsidR="00600B4A" w:rsidRPr="004C1D8B" w:rsidRDefault="00600B4A" w:rsidP="00420337">
            <w:pPr>
              <w:jc w:val="right"/>
              <w:rPr>
                <w:rFonts w:ascii="Tahoma" w:hAnsi="Tahoma" w:cs="Tahoma"/>
                <w:sz w:val="28"/>
              </w:rPr>
            </w:pPr>
            <w:r w:rsidRPr="004C1D8B">
              <w:rPr>
                <w:rFonts w:ascii="Tahoma" w:hAnsi="Tahoma" w:cs="Tahoma"/>
                <w:szCs w:val="22"/>
              </w:rPr>
              <w:t>4,9</w:t>
            </w:r>
          </w:p>
        </w:tc>
      </w:tr>
    </w:tbl>
    <w:p w:rsidR="00600B4A" w:rsidRPr="004C1D8B" w:rsidRDefault="00600B4A" w:rsidP="00600B4A">
      <w:pPr>
        <w:spacing w:after="120"/>
        <w:ind w:firstLine="426"/>
        <w:jc w:val="both"/>
        <w:rPr>
          <w:rFonts w:ascii="Tahoma" w:hAnsi="Tahoma" w:cs="Tahoma"/>
          <w:szCs w:val="22"/>
        </w:rPr>
      </w:pPr>
      <w:r w:rsidRPr="004C1D8B">
        <w:rPr>
          <w:rFonts w:ascii="Tahoma" w:hAnsi="Tahoma" w:cs="Tahoma"/>
          <w:b/>
          <w:szCs w:val="22"/>
        </w:rPr>
        <w:lastRenderedPageBreak/>
        <w:t xml:space="preserve">Увеличение на задълженията спрямо 2010 г. има в дейностите: </w:t>
      </w:r>
      <w:r w:rsidRPr="004C1D8B">
        <w:rPr>
          <w:rFonts w:ascii="Tahoma" w:hAnsi="Tahoma" w:cs="Tahoma"/>
          <w:szCs w:val="22"/>
        </w:rPr>
        <w:t>производство и разпределение на енергия – с 1.7 млрд.лв.; операции с недвижими имоти – с 1.6 млрд.лева; търговия – с 1.5 млрд.лв.; далекосъобщения – с 0.8 млрд.лв. и с по 0.1 млрд.лева в хотелиерство и ресторантьорство и транспорт, складиране и пощи.</w:t>
      </w:r>
    </w:p>
    <w:p w:rsidR="00600B4A" w:rsidRPr="004C1D8B" w:rsidRDefault="00600B4A" w:rsidP="00600B4A">
      <w:pPr>
        <w:spacing w:after="120"/>
        <w:ind w:firstLine="426"/>
        <w:jc w:val="both"/>
        <w:rPr>
          <w:rFonts w:ascii="Tahoma" w:hAnsi="Tahoma" w:cs="Tahoma"/>
          <w:szCs w:val="22"/>
        </w:rPr>
      </w:pPr>
      <w:r w:rsidRPr="004C1D8B">
        <w:rPr>
          <w:rFonts w:ascii="Tahoma" w:hAnsi="Tahoma" w:cs="Tahoma"/>
          <w:b/>
          <w:szCs w:val="22"/>
        </w:rPr>
        <w:t xml:space="preserve">Намалението на задълженията спрямо 2010 г. е най-голямо в дейностите: </w:t>
      </w:r>
      <w:r w:rsidRPr="004C1D8B">
        <w:rPr>
          <w:rFonts w:ascii="Tahoma" w:hAnsi="Tahoma" w:cs="Tahoma"/>
          <w:szCs w:val="22"/>
        </w:rPr>
        <w:t>производство на основни метали – 3 млрд.лв.; строителство – 1.6 млрд.лева и производство на хранителни продукти – 0.1 млрд.лева.</w:t>
      </w:r>
    </w:p>
    <w:p w:rsidR="00600B4A" w:rsidRPr="004C1D8B" w:rsidRDefault="00461272" w:rsidP="00461272">
      <w:pPr>
        <w:spacing w:after="120"/>
        <w:ind w:left="426"/>
        <w:jc w:val="both"/>
        <w:rPr>
          <w:rFonts w:ascii="Tahoma" w:hAnsi="Tahoma" w:cs="Tahoma"/>
          <w:b/>
          <w:szCs w:val="22"/>
          <w:u w:val="double"/>
        </w:rPr>
      </w:pPr>
      <w:r w:rsidRPr="004C1D8B">
        <w:rPr>
          <w:rFonts w:ascii="Tahoma" w:hAnsi="Tahoma" w:cs="Tahoma"/>
          <w:b/>
          <w:szCs w:val="22"/>
          <w:u w:val="double"/>
          <w:lang w:val="en-US"/>
        </w:rPr>
        <w:t xml:space="preserve">III.2. </w:t>
      </w:r>
      <w:r w:rsidR="00600B4A" w:rsidRPr="004C1D8B">
        <w:rPr>
          <w:rFonts w:ascii="Tahoma" w:hAnsi="Tahoma" w:cs="Tahoma"/>
          <w:b/>
          <w:szCs w:val="22"/>
          <w:u w:val="double"/>
        </w:rPr>
        <w:t>Структура на задълженията според вида на кредиторите</w:t>
      </w:r>
    </w:p>
    <w:p w:rsidR="00871FF1" w:rsidRPr="004C1D8B" w:rsidRDefault="000801B3" w:rsidP="000966B3">
      <w:pPr>
        <w:spacing w:after="120"/>
        <w:ind w:firstLine="425"/>
        <w:jc w:val="both"/>
        <w:rPr>
          <w:rFonts w:ascii="Tahoma" w:hAnsi="Tahoma" w:cs="Tahoma"/>
          <w:i/>
          <w:iCs/>
          <w:snapToGrid w:val="0"/>
          <w:szCs w:val="22"/>
        </w:rPr>
      </w:pPr>
      <w:r w:rsidRPr="004C1D8B">
        <w:rPr>
          <w:rFonts w:ascii="Tahoma" w:hAnsi="Tahoma" w:cs="Tahoma"/>
          <w:szCs w:val="22"/>
        </w:rPr>
        <w:t xml:space="preserve">Изследването на задълженията според вида на кредиторите (доставчици, банки и други финансови предприятия, предприятия от група, свързани с асоциирани и смесени предприятия, облигационни заеми, персонал, осигурителни задължения, данъчни и други задължения) показва, че </w:t>
      </w:r>
      <w:r w:rsidRPr="004C1D8B">
        <w:rPr>
          <w:rFonts w:ascii="Tahoma" w:hAnsi="Tahoma" w:cs="Tahoma"/>
          <w:b/>
          <w:szCs w:val="22"/>
        </w:rPr>
        <w:t xml:space="preserve">относителните дялове </w:t>
      </w:r>
      <w:r w:rsidR="0003282C" w:rsidRPr="004C1D8B">
        <w:rPr>
          <w:rFonts w:ascii="Tahoma" w:hAnsi="Tahoma" w:cs="Tahoma"/>
          <w:b/>
          <w:szCs w:val="22"/>
        </w:rPr>
        <w:t xml:space="preserve">през 2011 г. </w:t>
      </w:r>
      <w:r w:rsidRPr="004C1D8B">
        <w:rPr>
          <w:rFonts w:ascii="Tahoma" w:hAnsi="Tahoma" w:cs="Tahoma"/>
          <w:b/>
          <w:szCs w:val="22"/>
        </w:rPr>
        <w:t>са претърпели съществени изменения</w:t>
      </w:r>
      <w:r w:rsidRPr="004C1D8B">
        <w:rPr>
          <w:rFonts w:ascii="Tahoma" w:hAnsi="Tahoma" w:cs="Tahoma"/>
          <w:szCs w:val="22"/>
        </w:rPr>
        <w:t>.</w:t>
      </w:r>
    </w:p>
    <w:tbl>
      <w:tblPr>
        <w:tblW w:w="10007" w:type="dxa"/>
        <w:tblInd w:w="55" w:type="dxa"/>
        <w:tblCellMar>
          <w:left w:w="70" w:type="dxa"/>
          <w:right w:w="70" w:type="dxa"/>
        </w:tblCellMar>
        <w:tblLook w:val="04A0" w:firstRow="1" w:lastRow="0" w:firstColumn="1" w:lastColumn="0" w:noHBand="0" w:noVBand="1"/>
      </w:tblPr>
      <w:tblGrid>
        <w:gridCol w:w="3134"/>
        <w:gridCol w:w="992"/>
        <w:gridCol w:w="567"/>
        <w:gridCol w:w="992"/>
        <w:gridCol w:w="567"/>
        <w:gridCol w:w="974"/>
        <w:gridCol w:w="601"/>
        <w:gridCol w:w="1090"/>
        <w:gridCol w:w="1090"/>
      </w:tblGrid>
      <w:tr w:rsidR="00600B4A" w:rsidRPr="004C1D8B" w:rsidTr="00600B4A">
        <w:trPr>
          <w:trHeight w:val="270"/>
        </w:trPr>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00B4A" w:rsidRPr="004C1D8B" w:rsidRDefault="00600B4A">
            <w:pPr>
              <w:rPr>
                <w:rFonts w:ascii="Tahoma" w:hAnsi="Tahoma" w:cs="Tahoma"/>
                <w:b/>
                <w:bCs/>
                <w:sz w:val="22"/>
              </w:rPr>
            </w:pPr>
            <w:r w:rsidRPr="004C1D8B">
              <w:rPr>
                <w:rFonts w:ascii="Tahoma" w:hAnsi="Tahoma" w:cs="Tahoma"/>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00B4A" w:rsidRPr="004C1D8B" w:rsidRDefault="00600B4A">
            <w:pPr>
              <w:jc w:val="center"/>
              <w:rPr>
                <w:rFonts w:ascii="Tahoma" w:hAnsi="Tahoma" w:cs="Tahoma"/>
                <w:b/>
                <w:i/>
                <w:iCs/>
                <w:sz w:val="22"/>
              </w:rPr>
            </w:pPr>
            <w:r w:rsidRPr="004C1D8B">
              <w:rPr>
                <w:rFonts w:ascii="Tahoma" w:hAnsi="Tahoma" w:cs="Tahoma"/>
                <w:b/>
                <w:i/>
                <w:iCs/>
                <w:sz w:val="22"/>
                <w:szCs w:val="22"/>
              </w:rPr>
              <w:t>2005 г.</w:t>
            </w:r>
          </w:p>
        </w:tc>
        <w:tc>
          <w:tcPr>
            <w:tcW w:w="1559"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00B4A" w:rsidRPr="004C1D8B" w:rsidRDefault="00600B4A">
            <w:pPr>
              <w:jc w:val="center"/>
              <w:rPr>
                <w:rFonts w:ascii="Tahoma" w:hAnsi="Tahoma" w:cs="Tahoma"/>
                <w:b/>
                <w:i/>
                <w:iCs/>
                <w:sz w:val="22"/>
              </w:rPr>
            </w:pPr>
            <w:r w:rsidRPr="004C1D8B">
              <w:rPr>
                <w:rFonts w:ascii="Tahoma" w:hAnsi="Tahoma" w:cs="Tahoma"/>
                <w:b/>
                <w:i/>
                <w:iCs/>
                <w:sz w:val="22"/>
                <w:szCs w:val="22"/>
              </w:rPr>
              <w:t>2010 г.</w:t>
            </w:r>
          </w:p>
        </w:tc>
        <w:tc>
          <w:tcPr>
            <w:tcW w:w="1575"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00B4A" w:rsidRPr="004C1D8B" w:rsidRDefault="00600B4A" w:rsidP="00600B4A">
            <w:pPr>
              <w:jc w:val="center"/>
              <w:rPr>
                <w:rFonts w:ascii="Tahoma" w:hAnsi="Tahoma" w:cs="Tahoma"/>
                <w:b/>
                <w:i/>
                <w:iCs/>
                <w:sz w:val="22"/>
              </w:rPr>
            </w:pPr>
            <w:r w:rsidRPr="004C1D8B">
              <w:rPr>
                <w:rFonts w:ascii="Tahoma" w:hAnsi="Tahoma" w:cs="Tahoma"/>
                <w:b/>
                <w:i/>
                <w:iCs/>
                <w:sz w:val="22"/>
                <w:szCs w:val="22"/>
              </w:rPr>
              <w:t>2011 г.</w:t>
            </w:r>
          </w:p>
        </w:tc>
        <w:tc>
          <w:tcPr>
            <w:tcW w:w="109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00B4A" w:rsidRPr="004C1D8B" w:rsidRDefault="00600B4A">
            <w:pPr>
              <w:jc w:val="center"/>
              <w:rPr>
                <w:rFonts w:ascii="Tahoma" w:hAnsi="Tahoma" w:cs="Tahoma"/>
                <w:i/>
                <w:iCs/>
                <w:sz w:val="20"/>
              </w:rPr>
            </w:pPr>
            <w:r w:rsidRPr="004C1D8B">
              <w:rPr>
                <w:rFonts w:ascii="Tahoma" w:hAnsi="Tahoma" w:cs="Tahoma"/>
                <w:i/>
                <w:iCs/>
                <w:sz w:val="20"/>
                <w:szCs w:val="22"/>
              </w:rPr>
              <w:t>Индекс 2011/2005</w:t>
            </w:r>
          </w:p>
        </w:tc>
        <w:tc>
          <w:tcPr>
            <w:tcW w:w="109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600B4A" w:rsidRPr="004C1D8B" w:rsidRDefault="00600B4A">
            <w:pPr>
              <w:jc w:val="center"/>
              <w:rPr>
                <w:rFonts w:ascii="Tahoma" w:hAnsi="Tahoma" w:cs="Tahoma"/>
                <w:i/>
                <w:iCs/>
                <w:sz w:val="20"/>
              </w:rPr>
            </w:pPr>
            <w:r w:rsidRPr="004C1D8B">
              <w:rPr>
                <w:rFonts w:ascii="Tahoma" w:hAnsi="Tahoma" w:cs="Tahoma"/>
                <w:i/>
                <w:iCs/>
                <w:sz w:val="20"/>
                <w:szCs w:val="22"/>
              </w:rPr>
              <w:t>Индекс 2011/2010</w:t>
            </w:r>
          </w:p>
        </w:tc>
      </w:tr>
      <w:tr w:rsidR="00600B4A" w:rsidRPr="004C1D8B" w:rsidTr="00600B4A">
        <w:trPr>
          <w:trHeight w:val="270"/>
        </w:trPr>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00B4A" w:rsidRPr="004C1D8B" w:rsidRDefault="00600B4A">
            <w:pPr>
              <w:rPr>
                <w:rFonts w:ascii="Tahoma" w:hAnsi="Tahoma" w:cs="Tahoma"/>
                <w:b/>
                <w:bCs/>
                <w:sz w:val="22"/>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pPr>
              <w:jc w:val="center"/>
              <w:rPr>
                <w:rFonts w:ascii="Tahoma" w:hAnsi="Tahoma" w:cs="Tahoma"/>
                <w:i/>
                <w:iCs/>
                <w:sz w:val="20"/>
              </w:rPr>
            </w:pPr>
            <w:r w:rsidRPr="004C1D8B">
              <w:rPr>
                <w:rFonts w:ascii="Tahoma" w:hAnsi="Tahoma" w:cs="Tahoma"/>
                <w:i/>
                <w:iCs/>
                <w:sz w:val="20"/>
                <w:szCs w:val="22"/>
              </w:rPr>
              <w:t>Млрд.лв.</w:t>
            </w:r>
          </w:p>
        </w:tc>
        <w:tc>
          <w:tcPr>
            <w:tcW w:w="56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pPr>
              <w:jc w:val="center"/>
              <w:rPr>
                <w:rFonts w:ascii="Tahoma" w:hAnsi="Tahoma" w:cs="Tahoma"/>
                <w:i/>
                <w:iCs/>
                <w:sz w:val="20"/>
              </w:rPr>
            </w:pPr>
            <w:r w:rsidRPr="004C1D8B">
              <w:rPr>
                <w:rFonts w:ascii="Tahoma" w:hAnsi="Tahoma" w:cs="Tahoma"/>
                <w:i/>
                <w:iCs/>
                <w:sz w:val="20"/>
              </w:rPr>
              <w:t>%</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pPr>
              <w:jc w:val="center"/>
              <w:rPr>
                <w:rFonts w:ascii="Tahoma" w:hAnsi="Tahoma" w:cs="Tahoma"/>
                <w:i/>
                <w:iCs/>
                <w:sz w:val="20"/>
              </w:rPr>
            </w:pPr>
            <w:r w:rsidRPr="004C1D8B">
              <w:rPr>
                <w:rFonts w:ascii="Tahoma" w:hAnsi="Tahoma" w:cs="Tahoma"/>
                <w:i/>
                <w:iCs/>
                <w:sz w:val="20"/>
                <w:szCs w:val="22"/>
              </w:rPr>
              <w:t>Млрд.лв.</w:t>
            </w:r>
          </w:p>
        </w:tc>
        <w:tc>
          <w:tcPr>
            <w:tcW w:w="56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pPr>
              <w:jc w:val="center"/>
              <w:rPr>
                <w:rFonts w:ascii="Tahoma" w:hAnsi="Tahoma" w:cs="Tahoma"/>
                <w:i/>
                <w:iCs/>
                <w:sz w:val="20"/>
              </w:rPr>
            </w:pPr>
            <w:r w:rsidRPr="004C1D8B">
              <w:rPr>
                <w:rFonts w:ascii="Tahoma" w:hAnsi="Tahoma" w:cs="Tahoma"/>
                <w:i/>
                <w:iCs/>
                <w:sz w:val="20"/>
              </w:rPr>
              <w:t>%</w:t>
            </w:r>
          </w:p>
        </w:tc>
        <w:tc>
          <w:tcPr>
            <w:tcW w:w="97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rsidP="00420337">
            <w:pPr>
              <w:jc w:val="center"/>
              <w:rPr>
                <w:rFonts w:ascii="Tahoma" w:hAnsi="Tahoma" w:cs="Tahoma"/>
                <w:i/>
                <w:iCs/>
                <w:sz w:val="20"/>
              </w:rPr>
            </w:pPr>
            <w:r w:rsidRPr="004C1D8B">
              <w:rPr>
                <w:rFonts w:ascii="Tahoma" w:hAnsi="Tahoma" w:cs="Tahoma"/>
                <w:i/>
                <w:iCs/>
                <w:sz w:val="20"/>
                <w:szCs w:val="22"/>
              </w:rPr>
              <w:t>Млрд.лв.</w:t>
            </w:r>
          </w:p>
        </w:tc>
        <w:tc>
          <w:tcPr>
            <w:tcW w:w="60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00B4A" w:rsidRPr="004C1D8B" w:rsidRDefault="00600B4A" w:rsidP="00420337">
            <w:pPr>
              <w:jc w:val="center"/>
              <w:rPr>
                <w:rFonts w:ascii="Tahoma" w:hAnsi="Tahoma" w:cs="Tahoma"/>
                <w:i/>
                <w:iCs/>
                <w:sz w:val="20"/>
              </w:rPr>
            </w:pPr>
            <w:r w:rsidRPr="004C1D8B">
              <w:rPr>
                <w:rFonts w:ascii="Tahoma" w:hAnsi="Tahoma" w:cs="Tahoma"/>
                <w:i/>
                <w:iCs/>
                <w:sz w:val="20"/>
              </w:rPr>
              <w:t>%</w:t>
            </w:r>
          </w:p>
        </w:tc>
        <w:tc>
          <w:tcPr>
            <w:tcW w:w="109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600B4A" w:rsidRPr="004C1D8B" w:rsidRDefault="00600B4A">
            <w:pPr>
              <w:jc w:val="center"/>
              <w:rPr>
                <w:rFonts w:ascii="Tahoma" w:hAnsi="Tahoma" w:cs="Tahoma"/>
                <w:i/>
                <w:iCs/>
                <w:sz w:val="22"/>
              </w:rPr>
            </w:pPr>
          </w:p>
        </w:tc>
        <w:tc>
          <w:tcPr>
            <w:tcW w:w="109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600B4A" w:rsidRPr="004C1D8B" w:rsidRDefault="00600B4A">
            <w:pPr>
              <w:jc w:val="center"/>
              <w:rPr>
                <w:rFonts w:ascii="Tahoma" w:hAnsi="Tahoma" w:cs="Tahoma"/>
                <w:i/>
                <w:iCs/>
                <w:sz w:val="22"/>
              </w:rPr>
            </w:pPr>
          </w:p>
        </w:tc>
      </w:tr>
      <w:tr w:rsidR="00600B4A" w:rsidRPr="004C1D8B" w:rsidTr="00600B4A">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Доставчици</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18,128</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27,1</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30,153</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19,1</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30,590</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18,8</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169</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101</w:t>
            </w:r>
          </w:p>
        </w:tc>
      </w:tr>
      <w:tr w:rsidR="00600B4A" w:rsidRPr="004C1D8B" w:rsidTr="00600B4A">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Финансови предприятия</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14,927</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22,3</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46,606</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29,5</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48,867</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30,0</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327</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105</w:t>
            </w:r>
          </w:p>
        </w:tc>
      </w:tr>
      <w:tr w:rsidR="00600B4A" w:rsidRPr="004C1D8B" w:rsidTr="00600B4A">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Предприятия от група</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13,404</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20,0</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37,065</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23,5</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38,491</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23,6</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287</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104</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Данъчни задължения</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3,017</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4,5</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4,026</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2,6</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3,539</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2,2</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117</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88</w:t>
            </w:r>
          </w:p>
        </w:tc>
      </w:tr>
      <w:tr w:rsidR="00600B4A" w:rsidRPr="004C1D8B" w:rsidTr="00600B4A">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Персонал</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1,250</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1,9</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1,889</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1,2</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1,931</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1,2</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154</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102</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rPr>
                <w:rFonts w:asciiTheme="minorHAnsi" w:hAnsiTheme="minorHAnsi" w:cstheme="minorHAnsi"/>
                <w:sz w:val="22"/>
                <w:szCs w:val="21"/>
              </w:rPr>
            </w:pPr>
            <w:r w:rsidRPr="004C1D8B">
              <w:rPr>
                <w:rFonts w:asciiTheme="minorHAnsi" w:hAnsiTheme="minorHAnsi" w:cstheme="minorHAnsi"/>
                <w:sz w:val="22"/>
                <w:szCs w:val="21"/>
              </w:rPr>
              <w:t>Осигурителни задължения</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0,694</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1,0</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0,949</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0,6</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1,018</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0,6</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147</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107</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jc w:val="both"/>
              <w:rPr>
                <w:rFonts w:asciiTheme="minorHAnsi" w:hAnsiTheme="minorHAnsi" w:cstheme="minorHAnsi"/>
                <w:sz w:val="22"/>
                <w:szCs w:val="21"/>
              </w:rPr>
            </w:pPr>
            <w:r w:rsidRPr="004C1D8B">
              <w:rPr>
                <w:rFonts w:asciiTheme="minorHAnsi" w:hAnsiTheme="minorHAnsi" w:cstheme="minorHAnsi"/>
                <w:sz w:val="22"/>
                <w:szCs w:val="21"/>
              </w:rPr>
              <w:t>Облигационни заеми</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0,306</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0,5</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2,157</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1,4</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1,483</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0,9</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485</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69</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jc w:val="both"/>
              <w:rPr>
                <w:rFonts w:asciiTheme="minorHAnsi" w:hAnsiTheme="minorHAnsi" w:cstheme="minorHAnsi"/>
                <w:sz w:val="22"/>
                <w:szCs w:val="21"/>
              </w:rPr>
            </w:pPr>
            <w:r w:rsidRPr="004C1D8B">
              <w:rPr>
                <w:rFonts w:asciiTheme="minorHAnsi" w:hAnsiTheme="minorHAnsi" w:cstheme="minorHAnsi"/>
                <w:sz w:val="22"/>
                <w:szCs w:val="21"/>
              </w:rPr>
              <w:t>По полици</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0,323</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0,2</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0,292</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0,2</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E53458">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90</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jc w:val="both"/>
              <w:rPr>
                <w:rFonts w:asciiTheme="minorHAnsi" w:hAnsiTheme="minorHAnsi" w:cstheme="minorHAnsi"/>
                <w:sz w:val="22"/>
                <w:szCs w:val="21"/>
              </w:rPr>
            </w:pPr>
            <w:r w:rsidRPr="004C1D8B">
              <w:rPr>
                <w:rFonts w:asciiTheme="minorHAnsi" w:hAnsiTheme="minorHAnsi" w:cstheme="minorHAnsi"/>
                <w:sz w:val="22"/>
                <w:szCs w:val="21"/>
              </w:rPr>
              <w:t>Аванси</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5,637</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3,6</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5,655</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3,5</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E53458">
            <w:pPr>
              <w:jc w:val="right"/>
              <w:rPr>
                <w:rFonts w:asciiTheme="minorHAnsi" w:hAnsiTheme="minorHAnsi" w:cstheme="minorHAnsi"/>
                <w:sz w:val="22"/>
                <w:szCs w:val="21"/>
              </w:rPr>
            </w:pPr>
            <w:r w:rsidRPr="004C1D8B">
              <w:rPr>
                <w:rFonts w:asciiTheme="minorHAnsi" w:hAnsiTheme="minorHAnsi" w:cstheme="minorHAnsi"/>
                <w:sz w:val="22"/>
                <w:szCs w:val="21"/>
              </w:rPr>
              <w:t>-</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100</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00B4A" w:rsidRPr="004C1D8B" w:rsidRDefault="00600B4A">
            <w:pPr>
              <w:jc w:val="both"/>
              <w:rPr>
                <w:rFonts w:asciiTheme="minorHAnsi" w:hAnsiTheme="minorHAnsi" w:cstheme="minorHAnsi"/>
                <w:sz w:val="22"/>
                <w:szCs w:val="21"/>
              </w:rPr>
            </w:pPr>
            <w:r w:rsidRPr="004C1D8B">
              <w:rPr>
                <w:rFonts w:asciiTheme="minorHAnsi" w:hAnsiTheme="minorHAnsi" w:cstheme="minorHAnsi"/>
                <w:sz w:val="22"/>
                <w:szCs w:val="21"/>
              </w:rPr>
              <w:t>Други</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rsidP="00F36A71">
            <w:pPr>
              <w:jc w:val="right"/>
              <w:rPr>
                <w:rFonts w:asciiTheme="minorHAnsi" w:hAnsiTheme="minorHAnsi" w:cstheme="minorHAnsi"/>
                <w:sz w:val="22"/>
                <w:szCs w:val="21"/>
              </w:rPr>
            </w:pPr>
            <w:r w:rsidRPr="004C1D8B">
              <w:rPr>
                <w:rFonts w:asciiTheme="minorHAnsi" w:hAnsiTheme="minorHAnsi" w:cstheme="minorHAnsi"/>
                <w:sz w:val="22"/>
                <w:szCs w:val="21"/>
              </w:rPr>
              <w:t>15,296</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rsidP="00600B4A">
            <w:pPr>
              <w:jc w:val="right"/>
              <w:rPr>
                <w:rFonts w:asciiTheme="minorHAnsi" w:hAnsiTheme="minorHAnsi" w:cstheme="minorHAnsi"/>
                <w:sz w:val="22"/>
                <w:szCs w:val="21"/>
              </w:rPr>
            </w:pPr>
            <w:r w:rsidRPr="004C1D8B">
              <w:rPr>
                <w:rFonts w:asciiTheme="minorHAnsi" w:hAnsiTheme="minorHAnsi" w:cstheme="minorHAnsi"/>
                <w:sz w:val="22"/>
                <w:szCs w:val="21"/>
              </w:rPr>
              <w:t>22,8</w:t>
            </w:r>
          </w:p>
        </w:tc>
        <w:tc>
          <w:tcPr>
            <w:tcW w:w="992"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29,083</w:t>
            </w:r>
          </w:p>
        </w:tc>
        <w:tc>
          <w:tcPr>
            <w:tcW w:w="567"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18,4</w:t>
            </w:r>
          </w:p>
        </w:tc>
        <w:tc>
          <w:tcPr>
            <w:tcW w:w="974" w:type="dxa"/>
            <w:tcBorders>
              <w:top w:val="nil"/>
              <w:left w:val="nil"/>
              <w:bottom w:val="single" w:sz="4" w:space="0" w:color="auto"/>
              <w:right w:val="single" w:sz="4" w:space="0" w:color="auto"/>
            </w:tcBorders>
            <w:shd w:val="clear" w:color="auto" w:fill="auto"/>
            <w:vAlign w:val="center"/>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31,213</w:t>
            </w:r>
          </w:p>
        </w:tc>
        <w:tc>
          <w:tcPr>
            <w:tcW w:w="601" w:type="dxa"/>
            <w:tcBorders>
              <w:top w:val="nil"/>
              <w:left w:val="nil"/>
              <w:bottom w:val="single" w:sz="4" w:space="0" w:color="auto"/>
              <w:right w:val="single" w:sz="4" w:space="0" w:color="auto"/>
            </w:tcBorders>
            <w:shd w:val="clear" w:color="auto" w:fill="auto"/>
            <w:vAlign w:val="center"/>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19,1</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204</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sz w:val="22"/>
                <w:szCs w:val="21"/>
              </w:rPr>
            </w:pPr>
            <w:r w:rsidRPr="004C1D8B">
              <w:rPr>
                <w:rFonts w:asciiTheme="minorHAnsi" w:hAnsiTheme="minorHAnsi" w:cstheme="minorHAnsi"/>
                <w:sz w:val="22"/>
                <w:szCs w:val="21"/>
              </w:rPr>
              <w:t>107</w:t>
            </w:r>
          </w:p>
        </w:tc>
      </w:tr>
      <w:tr w:rsidR="00600B4A" w:rsidRPr="004C1D8B" w:rsidTr="00600B4A">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b/>
                <w:bCs/>
                <w:sz w:val="22"/>
                <w:szCs w:val="21"/>
              </w:rPr>
            </w:pPr>
            <w:r w:rsidRPr="004C1D8B">
              <w:rPr>
                <w:rFonts w:asciiTheme="minorHAnsi" w:hAnsiTheme="minorHAnsi" w:cstheme="minorHAnsi"/>
                <w:b/>
                <w:bCs/>
                <w:sz w:val="22"/>
                <w:szCs w:val="21"/>
              </w:rPr>
              <w:t>ОБЩО:</w:t>
            </w:r>
          </w:p>
        </w:tc>
        <w:tc>
          <w:tcPr>
            <w:tcW w:w="992"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rsidP="00F36A71">
            <w:pPr>
              <w:jc w:val="right"/>
              <w:rPr>
                <w:rFonts w:asciiTheme="minorHAnsi" w:hAnsiTheme="minorHAnsi" w:cstheme="minorHAnsi"/>
                <w:b/>
                <w:bCs/>
                <w:sz w:val="22"/>
                <w:szCs w:val="21"/>
              </w:rPr>
            </w:pPr>
            <w:r w:rsidRPr="004C1D8B">
              <w:rPr>
                <w:rFonts w:asciiTheme="minorHAnsi" w:hAnsiTheme="minorHAnsi" w:cstheme="minorHAnsi"/>
                <w:b/>
                <w:bCs/>
                <w:sz w:val="22"/>
                <w:szCs w:val="21"/>
              </w:rPr>
              <w:t>67,022</w:t>
            </w:r>
          </w:p>
        </w:tc>
        <w:tc>
          <w:tcPr>
            <w:tcW w:w="567" w:type="dxa"/>
            <w:tcBorders>
              <w:top w:val="nil"/>
              <w:left w:val="nil"/>
              <w:bottom w:val="single" w:sz="4" w:space="0" w:color="auto"/>
              <w:right w:val="single" w:sz="4" w:space="0" w:color="auto"/>
            </w:tcBorders>
            <w:shd w:val="clear" w:color="auto" w:fill="auto"/>
            <w:vAlign w:val="bottom"/>
          </w:tcPr>
          <w:p w:rsidR="00600B4A" w:rsidRPr="004C1D8B" w:rsidRDefault="00600B4A" w:rsidP="00600B4A">
            <w:pPr>
              <w:jc w:val="right"/>
              <w:rPr>
                <w:rFonts w:asciiTheme="minorHAnsi" w:hAnsiTheme="minorHAnsi" w:cstheme="minorHAnsi"/>
                <w:bCs/>
                <w:sz w:val="22"/>
                <w:szCs w:val="21"/>
              </w:rPr>
            </w:pPr>
            <w:r w:rsidRPr="004C1D8B">
              <w:rPr>
                <w:rFonts w:asciiTheme="minorHAnsi" w:hAnsiTheme="minorHAnsi" w:cstheme="minorHAnsi"/>
                <w:bCs/>
                <w:sz w:val="22"/>
                <w:szCs w:val="21"/>
              </w:rPr>
              <w:t>100</w:t>
            </w:r>
          </w:p>
        </w:tc>
        <w:tc>
          <w:tcPr>
            <w:tcW w:w="992"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b/>
                <w:bCs/>
                <w:sz w:val="22"/>
                <w:szCs w:val="21"/>
              </w:rPr>
            </w:pPr>
            <w:r w:rsidRPr="004C1D8B">
              <w:rPr>
                <w:rFonts w:asciiTheme="minorHAnsi" w:hAnsiTheme="minorHAnsi" w:cstheme="minorHAnsi"/>
                <w:b/>
                <w:bCs/>
                <w:sz w:val="22"/>
                <w:szCs w:val="21"/>
              </w:rPr>
              <w:t>157,888</w:t>
            </w:r>
          </w:p>
        </w:tc>
        <w:tc>
          <w:tcPr>
            <w:tcW w:w="567" w:type="dxa"/>
            <w:tcBorders>
              <w:top w:val="nil"/>
              <w:left w:val="nil"/>
              <w:bottom w:val="single" w:sz="4" w:space="0" w:color="auto"/>
              <w:right w:val="single" w:sz="4" w:space="0" w:color="auto"/>
            </w:tcBorders>
            <w:shd w:val="clear" w:color="auto" w:fill="auto"/>
            <w:vAlign w:val="bottom"/>
          </w:tcPr>
          <w:p w:rsidR="00600B4A" w:rsidRPr="004C1D8B" w:rsidRDefault="00600B4A">
            <w:pPr>
              <w:jc w:val="right"/>
              <w:rPr>
                <w:rFonts w:asciiTheme="minorHAnsi" w:hAnsiTheme="minorHAnsi" w:cstheme="minorHAnsi"/>
                <w:bCs/>
                <w:sz w:val="22"/>
                <w:szCs w:val="21"/>
              </w:rPr>
            </w:pPr>
            <w:r w:rsidRPr="004C1D8B">
              <w:rPr>
                <w:rFonts w:asciiTheme="minorHAnsi" w:hAnsiTheme="minorHAnsi" w:cstheme="minorHAnsi"/>
                <w:bCs/>
                <w:sz w:val="22"/>
                <w:szCs w:val="21"/>
              </w:rPr>
              <w:t>100</w:t>
            </w:r>
          </w:p>
        </w:tc>
        <w:tc>
          <w:tcPr>
            <w:tcW w:w="974"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b/>
                <w:bCs/>
                <w:sz w:val="22"/>
                <w:szCs w:val="21"/>
              </w:rPr>
            </w:pPr>
            <w:r w:rsidRPr="004C1D8B">
              <w:rPr>
                <w:rFonts w:asciiTheme="minorHAnsi" w:hAnsiTheme="minorHAnsi" w:cstheme="minorHAnsi"/>
                <w:b/>
                <w:bCs/>
                <w:sz w:val="22"/>
                <w:szCs w:val="21"/>
              </w:rPr>
              <w:t>163,079</w:t>
            </w:r>
          </w:p>
        </w:tc>
        <w:tc>
          <w:tcPr>
            <w:tcW w:w="601" w:type="dxa"/>
            <w:tcBorders>
              <w:top w:val="nil"/>
              <w:left w:val="nil"/>
              <w:bottom w:val="single" w:sz="4" w:space="0" w:color="auto"/>
              <w:right w:val="single" w:sz="4" w:space="0" w:color="auto"/>
            </w:tcBorders>
            <w:shd w:val="clear" w:color="auto" w:fill="auto"/>
            <w:vAlign w:val="bottom"/>
          </w:tcPr>
          <w:p w:rsidR="00600B4A" w:rsidRPr="004C1D8B" w:rsidRDefault="00600B4A">
            <w:pPr>
              <w:jc w:val="right"/>
              <w:rPr>
                <w:rFonts w:asciiTheme="minorHAnsi" w:hAnsiTheme="minorHAnsi" w:cstheme="minorHAnsi"/>
                <w:bCs/>
                <w:sz w:val="22"/>
                <w:szCs w:val="21"/>
              </w:rPr>
            </w:pPr>
            <w:r w:rsidRPr="004C1D8B">
              <w:rPr>
                <w:rFonts w:asciiTheme="minorHAnsi" w:hAnsiTheme="minorHAnsi" w:cstheme="minorHAnsi"/>
                <w:bCs/>
                <w:sz w:val="22"/>
                <w:szCs w:val="21"/>
              </w:rPr>
              <w:t>100</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b/>
                <w:sz w:val="22"/>
                <w:szCs w:val="21"/>
              </w:rPr>
            </w:pPr>
            <w:r w:rsidRPr="004C1D8B">
              <w:rPr>
                <w:rFonts w:asciiTheme="minorHAnsi" w:hAnsiTheme="minorHAnsi" w:cstheme="minorHAnsi"/>
                <w:b/>
                <w:sz w:val="22"/>
                <w:szCs w:val="21"/>
              </w:rPr>
              <w:t>243</w:t>
            </w:r>
          </w:p>
        </w:tc>
        <w:tc>
          <w:tcPr>
            <w:tcW w:w="1090" w:type="dxa"/>
            <w:tcBorders>
              <w:top w:val="nil"/>
              <w:left w:val="nil"/>
              <w:bottom w:val="single" w:sz="4" w:space="0" w:color="auto"/>
              <w:right w:val="single" w:sz="4" w:space="0" w:color="auto"/>
            </w:tcBorders>
            <w:shd w:val="clear" w:color="auto" w:fill="auto"/>
            <w:noWrap/>
            <w:vAlign w:val="bottom"/>
            <w:hideMark/>
          </w:tcPr>
          <w:p w:rsidR="00600B4A" w:rsidRPr="004C1D8B" w:rsidRDefault="00600B4A">
            <w:pPr>
              <w:jc w:val="right"/>
              <w:rPr>
                <w:rFonts w:asciiTheme="minorHAnsi" w:hAnsiTheme="minorHAnsi" w:cstheme="minorHAnsi"/>
                <w:b/>
                <w:sz w:val="22"/>
                <w:szCs w:val="21"/>
              </w:rPr>
            </w:pPr>
            <w:r w:rsidRPr="004C1D8B">
              <w:rPr>
                <w:rFonts w:asciiTheme="minorHAnsi" w:hAnsiTheme="minorHAnsi" w:cstheme="minorHAnsi"/>
                <w:b/>
                <w:sz w:val="22"/>
                <w:szCs w:val="21"/>
              </w:rPr>
              <w:t>103</w:t>
            </w:r>
          </w:p>
        </w:tc>
      </w:tr>
    </w:tbl>
    <w:p w:rsidR="0053675B" w:rsidRPr="004C1D8B" w:rsidRDefault="0053675B" w:rsidP="0053675B">
      <w:pPr>
        <w:spacing w:after="120"/>
        <w:ind w:firstLine="426"/>
        <w:jc w:val="both"/>
        <w:rPr>
          <w:rFonts w:ascii="Tahoma" w:hAnsi="Tahoma" w:cs="Tahoma"/>
          <w:b/>
          <w:sz w:val="4"/>
          <w:szCs w:val="22"/>
        </w:rPr>
      </w:pPr>
    </w:p>
    <w:p w:rsidR="000966B3" w:rsidRPr="004C1D8B" w:rsidRDefault="000966B3" w:rsidP="000966B3">
      <w:pPr>
        <w:spacing w:after="120"/>
        <w:jc w:val="center"/>
        <w:rPr>
          <w:rFonts w:ascii="Tahoma" w:hAnsi="Tahoma" w:cs="Tahoma"/>
          <w:b/>
          <w:szCs w:val="22"/>
        </w:rPr>
      </w:pPr>
      <w:r w:rsidRPr="004C1D8B">
        <w:rPr>
          <w:noProof/>
          <w:sz w:val="28"/>
          <w:lang w:eastAsia="bg-BG"/>
        </w:rPr>
        <w:drawing>
          <wp:inline distT="0" distB="0" distL="0" distR="0" wp14:anchorId="2CEC40F6" wp14:editId="7E84EB4A">
            <wp:extent cx="5676900" cy="42862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675B" w:rsidRPr="004C1D8B" w:rsidRDefault="0053675B" w:rsidP="0053675B">
      <w:pPr>
        <w:spacing w:after="120"/>
        <w:ind w:firstLine="426"/>
        <w:jc w:val="both"/>
        <w:rPr>
          <w:rFonts w:ascii="Tahoma" w:hAnsi="Tahoma" w:cs="Tahoma"/>
          <w:b/>
          <w:szCs w:val="22"/>
        </w:rPr>
      </w:pPr>
      <w:r w:rsidRPr="004C1D8B">
        <w:rPr>
          <w:rFonts w:ascii="Tahoma" w:hAnsi="Tahoma" w:cs="Tahoma"/>
          <w:b/>
          <w:szCs w:val="22"/>
        </w:rPr>
        <w:lastRenderedPageBreak/>
        <w:t>Най-съществените изменения спрямо 2005 г. са:</w:t>
      </w:r>
    </w:p>
    <w:p w:rsidR="0053675B" w:rsidRPr="004C1D8B" w:rsidRDefault="00B978A3" w:rsidP="00B978A3">
      <w:pPr>
        <w:numPr>
          <w:ilvl w:val="0"/>
          <w:numId w:val="14"/>
        </w:numPr>
        <w:tabs>
          <w:tab w:val="clear" w:pos="1080"/>
          <w:tab w:val="num" w:pos="709"/>
        </w:tabs>
        <w:spacing w:after="120"/>
        <w:ind w:left="709" w:hanging="283"/>
        <w:jc w:val="both"/>
        <w:rPr>
          <w:rFonts w:ascii="Tahoma" w:hAnsi="Tahoma" w:cs="Tahoma"/>
          <w:szCs w:val="22"/>
        </w:rPr>
      </w:pPr>
      <w:r w:rsidRPr="004C1D8B">
        <w:rPr>
          <w:rFonts w:ascii="Tahoma" w:hAnsi="Tahoma" w:cs="Tahoma"/>
          <w:b/>
          <w:szCs w:val="22"/>
        </w:rPr>
        <w:t>Най-голям е делът на задълженията към финансовите предприятия</w:t>
      </w:r>
      <w:r w:rsidRPr="004C1D8B">
        <w:rPr>
          <w:rFonts w:ascii="Tahoma" w:hAnsi="Tahoma" w:cs="Tahoma"/>
          <w:szCs w:val="22"/>
        </w:rPr>
        <w:t>, който нараства от 22,3% през 2005 г. на 30% през 2011 г. В края на 2011 г., в сравнение с 2005 г., задълженията към финансови предприятия са повече с 34 млрд.лв. (3.3 пъти)</w:t>
      </w:r>
      <w:r w:rsidR="000966B3" w:rsidRPr="004C1D8B">
        <w:rPr>
          <w:rFonts w:ascii="Tahoma" w:hAnsi="Tahoma" w:cs="Tahoma"/>
          <w:szCs w:val="22"/>
        </w:rPr>
        <w:t xml:space="preserve">. </w:t>
      </w:r>
      <w:r w:rsidRPr="004C1D8B">
        <w:rPr>
          <w:rFonts w:ascii="Tahoma" w:hAnsi="Tahoma" w:cs="Tahoma"/>
          <w:szCs w:val="22"/>
        </w:rPr>
        <w:t>Т</w:t>
      </w:r>
      <w:r w:rsidR="0003282C" w:rsidRPr="004C1D8B">
        <w:rPr>
          <w:rFonts w:ascii="Tahoma" w:hAnsi="Tahoma" w:cs="Tahoma"/>
          <w:szCs w:val="22"/>
        </w:rPr>
        <w:t>рябва да се има предвид, че прирастът на банковите заеми през 2011 г. в по-голямата си част е от кредити за оборотни средства (задължения до 1 г</w:t>
      </w:r>
      <w:r w:rsidR="000966B3" w:rsidRPr="004C1D8B">
        <w:rPr>
          <w:rFonts w:ascii="Tahoma" w:hAnsi="Tahoma" w:cs="Tahoma"/>
          <w:szCs w:val="22"/>
        </w:rPr>
        <w:t>одина</w:t>
      </w:r>
      <w:r w:rsidR="0003282C" w:rsidRPr="004C1D8B">
        <w:rPr>
          <w:rFonts w:ascii="Tahoma" w:hAnsi="Tahoma" w:cs="Tahoma"/>
          <w:szCs w:val="22"/>
        </w:rPr>
        <w:t xml:space="preserve">), които са повече спрямо 2010 г. с 3,4 млрд. лв. или с 23,7 на сто. В същото време, кредитите </w:t>
      </w:r>
      <w:r w:rsidR="000966B3" w:rsidRPr="004C1D8B">
        <w:rPr>
          <w:rFonts w:ascii="Tahoma" w:hAnsi="Tahoma" w:cs="Tahoma"/>
          <w:szCs w:val="22"/>
        </w:rPr>
        <w:t>с инвестиционен характер (</w:t>
      </w:r>
      <w:r w:rsidR="0003282C" w:rsidRPr="004C1D8B">
        <w:rPr>
          <w:rFonts w:ascii="Tahoma" w:hAnsi="Tahoma" w:cs="Tahoma"/>
          <w:szCs w:val="22"/>
        </w:rPr>
        <w:t>над 1 година</w:t>
      </w:r>
      <w:r w:rsidR="000966B3" w:rsidRPr="004C1D8B">
        <w:rPr>
          <w:rFonts w:ascii="Tahoma" w:hAnsi="Tahoma" w:cs="Tahoma"/>
          <w:szCs w:val="22"/>
        </w:rPr>
        <w:t>)</w:t>
      </w:r>
      <w:r w:rsidR="0003282C" w:rsidRPr="004C1D8B">
        <w:rPr>
          <w:rFonts w:ascii="Tahoma" w:hAnsi="Tahoma" w:cs="Tahoma"/>
          <w:szCs w:val="22"/>
        </w:rPr>
        <w:t xml:space="preserve"> намаляват с 1,2 млрд.лв. (-3,6%) спрямо 2010 г.</w:t>
      </w:r>
    </w:p>
    <w:p w:rsidR="0053675B" w:rsidRPr="004C1D8B" w:rsidRDefault="0053675B" w:rsidP="0053675B">
      <w:pPr>
        <w:numPr>
          <w:ilvl w:val="0"/>
          <w:numId w:val="14"/>
        </w:numPr>
        <w:tabs>
          <w:tab w:val="clear" w:pos="1080"/>
          <w:tab w:val="num" w:pos="709"/>
        </w:tabs>
        <w:spacing w:after="120"/>
        <w:ind w:left="709" w:hanging="283"/>
        <w:jc w:val="both"/>
        <w:rPr>
          <w:rFonts w:ascii="Tahoma" w:hAnsi="Tahoma" w:cs="Tahoma"/>
          <w:szCs w:val="22"/>
        </w:rPr>
      </w:pPr>
      <w:r w:rsidRPr="004C1D8B">
        <w:rPr>
          <w:rFonts w:ascii="Tahoma" w:hAnsi="Tahoma" w:cs="Tahoma"/>
          <w:b/>
          <w:szCs w:val="22"/>
        </w:rPr>
        <w:t>Намаление на дела на задълженията към доставчици</w:t>
      </w:r>
      <w:r w:rsidRPr="004C1D8B">
        <w:rPr>
          <w:rFonts w:ascii="Tahoma" w:hAnsi="Tahoma" w:cs="Tahoma"/>
          <w:szCs w:val="22"/>
        </w:rPr>
        <w:t xml:space="preserve"> от 27,1% на 18,8%.</w:t>
      </w:r>
    </w:p>
    <w:p w:rsidR="0053675B" w:rsidRPr="004C1D8B" w:rsidRDefault="0053675B" w:rsidP="0053675B">
      <w:pPr>
        <w:numPr>
          <w:ilvl w:val="0"/>
          <w:numId w:val="14"/>
        </w:numPr>
        <w:tabs>
          <w:tab w:val="clear" w:pos="1080"/>
          <w:tab w:val="num" w:pos="709"/>
        </w:tabs>
        <w:spacing w:after="120"/>
        <w:ind w:left="709" w:hanging="283"/>
        <w:jc w:val="both"/>
        <w:rPr>
          <w:rFonts w:ascii="Tahoma" w:hAnsi="Tahoma" w:cs="Tahoma"/>
          <w:szCs w:val="22"/>
        </w:rPr>
      </w:pPr>
      <w:r w:rsidRPr="004C1D8B">
        <w:rPr>
          <w:rFonts w:ascii="Tahoma" w:hAnsi="Tahoma" w:cs="Tahoma"/>
          <w:b/>
          <w:szCs w:val="22"/>
        </w:rPr>
        <w:t>Увеличение на задълженията на предприятията от група и свързани с асоциирани и смесени предприятия</w:t>
      </w:r>
      <w:r w:rsidRPr="004C1D8B">
        <w:rPr>
          <w:rFonts w:ascii="Tahoma" w:hAnsi="Tahoma" w:cs="Tahoma"/>
          <w:szCs w:val="22"/>
        </w:rPr>
        <w:t xml:space="preserve"> – от 20% на </w:t>
      </w:r>
      <w:r w:rsidR="004D5B68" w:rsidRPr="004C1D8B">
        <w:rPr>
          <w:rFonts w:ascii="Tahoma" w:hAnsi="Tahoma" w:cs="Tahoma"/>
          <w:szCs w:val="22"/>
        </w:rPr>
        <w:t>23,6%. Това увеличение е тревожно, поради сериозния размер на този тип задължения и с оглед възможностите за счетоводно укриване на обороти.</w:t>
      </w:r>
    </w:p>
    <w:p w:rsidR="0003282C" w:rsidRPr="004C1D8B" w:rsidRDefault="0003282C" w:rsidP="0003282C">
      <w:pPr>
        <w:numPr>
          <w:ilvl w:val="0"/>
          <w:numId w:val="14"/>
        </w:numPr>
        <w:tabs>
          <w:tab w:val="clear" w:pos="1080"/>
          <w:tab w:val="num" w:pos="709"/>
        </w:tabs>
        <w:spacing w:after="120"/>
        <w:ind w:left="709" w:hanging="283"/>
        <w:jc w:val="both"/>
        <w:rPr>
          <w:rFonts w:ascii="Tahoma" w:hAnsi="Tahoma" w:cs="Tahoma"/>
          <w:szCs w:val="22"/>
        </w:rPr>
      </w:pPr>
      <w:r w:rsidRPr="004C1D8B">
        <w:rPr>
          <w:rFonts w:ascii="Tahoma" w:hAnsi="Tahoma" w:cs="Tahoma"/>
          <w:b/>
          <w:szCs w:val="22"/>
        </w:rPr>
        <w:t>Намаление на дела на данъчните задължения</w:t>
      </w:r>
      <w:r w:rsidRPr="004C1D8B">
        <w:rPr>
          <w:rFonts w:ascii="Tahoma" w:hAnsi="Tahoma" w:cs="Tahoma"/>
          <w:szCs w:val="22"/>
        </w:rPr>
        <w:t xml:space="preserve"> </w:t>
      </w:r>
      <w:r w:rsidR="00461272" w:rsidRPr="004C1D8B">
        <w:rPr>
          <w:rFonts w:ascii="Tahoma" w:hAnsi="Tahoma" w:cs="Tahoma"/>
          <w:szCs w:val="22"/>
        </w:rPr>
        <w:t>–</w:t>
      </w:r>
      <w:r w:rsidRPr="004C1D8B">
        <w:rPr>
          <w:rFonts w:ascii="Tahoma" w:hAnsi="Tahoma" w:cs="Tahoma"/>
          <w:szCs w:val="22"/>
        </w:rPr>
        <w:t xml:space="preserve"> от 4,5% на 2,2</w:t>
      </w:r>
      <w:r w:rsidR="000966B3" w:rsidRPr="004C1D8B">
        <w:rPr>
          <w:rFonts w:ascii="Tahoma" w:hAnsi="Tahoma" w:cs="Tahoma"/>
          <w:szCs w:val="22"/>
        </w:rPr>
        <w:t>%.</w:t>
      </w:r>
    </w:p>
    <w:p w:rsidR="00050B38" w:rsidRPr="004C1D8B" w:rsidRDefault="00F6742B" w:rsidP="00050B38">
      <w:pPr>
        <w:spacing w:after="120"/>
        <w:ind w:firstLine="425"/>
        <w:jc w:val="center"/>
        <w:rPr>
          <w:rFonts w:ascii="Tahoma" w:hAnsi="Tahoma" w:cs="Tahoma"/>
          <w:b/>
          <w:szCs w:val="22"/>
        </w:rPr>
      </w:pPr>
      <w:r w:rsidRPr="004C1D8B">
        <w:rPr>
          <w:rFonts w:ascii="Tahoma" w:hAnsi="Tahoma" w:cs="Tahoma"/>
          <w:szCs w:val="22"/>
        </w:rPr>
        <w:t xml:space="preserve">Към </w:t>
      </w:r>
      <w:r w:rsidR="007F5FF6" w:rsidRPr="004C1D8B">
        <w:rPr>
          <w:rFonts w:ascii="Tahoma" w:hAnsi="Tahoma" w:cs="Tahoma"/>
          <w:szCs w:val="22"/>
        </w:rPr>
        <w:t>м.</w:t>
      </w:r>
      <w:r w:rsidRPr="004C1D8B">
        <w:rPr>
          <w:rFonts w:ascii="Tahoma" w:hAnsi="Tahoma" w:cs="Tahoma"/>
          <w:szCs w:val="22"/>
        </w:rPr>
        <w:t xml:space="preserve">Ноември 2012 г. делът на лошите и преструктурирани кредити е 25,8%. </w:t>
      </w:r>
    </w:p>
    <w:p w:rsidR="00041DB8" w:rsidRPr="004C1D8B" w:rsidRDefault="00050B38" w:rsidP="00050B38">
      <w:pPr>
        <w:spacing w:after="120"/>
        <w:jc w:val="center"/>
        <w:rPr>
          <w:rFonts w:ascii="Tahoma" w:hAnsi="Tahoma" w:cs="Tahoma"/>
          <w:szCs w:val="22"/>
        </w:rPr>
      </w:pPr>
      <w:r w:rsidRPr="004C1D8B">
        <w:rPr>
          <w:rFonts w:ascii="Tahoma" w:hAnsi="Tahoma" w:cs="Tahoma"/>
          <w:noProof/>
          <w:szCs w:val="22"/>
          <w:lang w:eastAsia="bg-BG"/>
        </w:rPr>
        <w:drawing>
          <wp:inline distT="0" distB="0" distL="0" distR="0" wp14:anchorId="5075865C" wp14:editId="47B0584E">
            <wp:extent cx="561975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0" cy="2743200"/>
                    </a:xfrm>
                    <a:prstGeom prst="rect">
                      <a:avLst/>
                    </a:prstGeom>
                    <a:noFill/>
                    <a:ln>
                      <a:noFill/>
                    </a:ln>
                    <a:effectLst/>
                  </pic:spPr>
                </pic:pic>
              </a:graphicData>
            </a:graphic>
          </wp:inline>
        </w:drawing>
      </w:r>
    </w:p>
    <w:p w:rsidR="00486E69" w:rsidRPr="004C1D8B" w:rsidRDefault="00F6742B" w:rsidP="00F6742B">
      <w:pPr>
        <w:spacing w:after="120"/>
        <w:ind w:firstLine="425"/>
        <w:jc w:val="both"/>
        <w:rPr>
          <w:rFonts w:ascii="Tahoma" w:hAnsi="Tahoma" w:cs="Tahoma"/>
          <w:sz w:val="18"/>
          <w:szCs w:val="22"/>
        </w:rPr>
      </w:pPr>
      <w:r w:rsidRPr="004C1D8B">
        <w:rPr>
          <w:rFonts w:ascii="Tahoma" w:hAnsi="Tahoma" w:cs="Tahoma"/>
          <w:szCs w:val="22"/>
        </w:rPr>
        <w:t xml:space="preserve">Увеличението на задълженията към финансовите предприятия, паралелно с другия съществен параметър –размер на проблемните кредити, поставя сериозни въпроси, свързани с увеличение на риска в икономиката и </w:t>
      </w:r>
      <w:r w:rsidR="00486E69" w:rsidRPr="004C1D8B">
        <w:rPr>
          <w:rFonts w:ascii="Tahoma" w:hAnsi="Tahoma" w:cs="Tahoma"/>
          <w:szCs w:val="22"/>
        </w:rPr>
        <w:t>недостатъчно намаляване</w:t>
      </w:r>
      <w:r w:rsidRPr="004C1D8B">
        <w:rPr>
          <w:rFonts w:ascii="Tahoma" w:hAnsi="Tahoma" w:cs="Tahoma"/>
          <w:szCs w:val="22"/>
        </w:rPr>
        <w:t xml:space="preserve"> на лихвените проценти.</w:t>
      </w:r>
    </w:p>
    <w:p w:rsidR="00F6742B" w:rsidRPr="004C1D8B" w:rsidRDefault="00461272" w:rsidP="00461272">
      <w:pPr>
        <w:spacing w:after="120"/>
        <w:ind w:left="426"/>
        <w:jc w:val="both"/>
        <w:rPr>
          <w:rFonts w:ascii="Tahoma" w:hAnsi="Tahoma" w:cs="Tahoma"/>
          <w:b/>
          <w:szCs w:val="22"/>
          <w:u w:val="double"/>
        </w:rPr>
      </w:pPr>
      <w:r w:rsidRPr="004C1D8B">
        <w:rPr>
          <w:rFonts w:ascii="Tahoma" w:hAnsi="Tahoma" w:cs="Tahoma"/>
          <w:b/>
          <w:szCs w:val="22"/>
          <w:u w:val="double"/>
          <w:lang w:val="en-US"/>
        </w:rPr>
        <w:t xml:space="preserve">III.3. </w:t>
      </w:r>
      <w:r w:rsidR="00F6742B" w:rsidRPr="004C1D8B">
        <w:rPr>
          <w:rFonts w:ascii="Tahoma" w:hAnsi="Tahoma" w:cs="Tahoma"/>
          <w:b/>
          <w:szCs w:val="22"/>
          <w:u w:val="double"/>
        </w:rPr>
        <w:t>Агрегирана структура по вид на кредиторите</w:t>
      </w:r>
    </w:p>
    <w:p w:rsidR="000801B3" w:rsidRPr="004C1D8B" w:rsidRDefault="000801B3" w:rsidP="00902349">
      <w:pPr>
        <w:spacing w:after="120"/>
        <w:ind w:firstLine="426"/>
        <w:jc w:val="both"/>
        <w:rPr>
          <w:rFonts w:ascii="Tahoma" w:hAnsi="Tahoma" w:cs="Tahoma"/>
          <w:szCs w:val="22"/>
        </w:rPr>
      </w:pPr>
      <w:r w:rsidRPr="004C1D8B">
        <w:rPr>
          <w:rFonts w:ascii="Tahoma" w:hAnsi="Tahoma" w:cs="Tahoma"/>
          <w:szCs w:val="22"/>
        </w:rPr>
        <w:t xml:space="preserve">В общия обем на задълженията към 31 </w:t>
      </w:r>
      <w:r w:rsidR="0084511E" w:rsidRPr="004C1D8B">
        <w:rPr>
          <w:rFonts w:ascii="Tahoma" w:hAnsi="Tahoma" w:cs="Tahoma"/>
          <w:szCs w:val="22"/>
        </w:rPr>
        <w:t>д</w:t>
      </w:r>
      <w:r w:rsidRPr="004C1D8B">
        <w:rPr>
          <w:rFonts w:ascii="Tahoma" w:hAnsi="Tahoma" w:cs="Tahoma"/>
          <w:szCs w:val="22"/>
        </w:rPr>
        <w:t>екември 2011 г.:</w:t>
      </w:r>
    </w:p>
    <w:p w:rsidR="000801B3" w:rsidRPr="004C1D8B" w:rsidRDefault="00A56F2B" w:rsidP="00902349">
      <w:pPr>
        <w:numPr>
          <w:ilvl w:val="0"/>
          <w:numId w:val="4"/>
        </w:numPr>
        <w:spacing w:after="120"/>
        <w:ind w:hanging="294"/>
        <w:jc w:val="both"/>
        <w:rPr>
          <w:rFonts w:ascii="Tahoma" w:hAnsi="Tahoma" w:cs="Tahoma"/>
          <w:szCs w:val="22"/>
        </w:rPr>
      </w:pPr>
      <w:r w:rsidRPr="004C1D8B">
        <w:rPr>
          <w:rFonts w:ascii="Tahoma" w:hAnsi="Tahoma" w:cs="Tahoma"/>
          <w:szCs w:val="22"/>
        </w:rPr>
        <w:t>107.7 млрд.лв.</w:t>
      </w:r>
      <w:r w:rsidR="000801B3" w:rsidRPr="004C1D8B">
        <w:rPr>
          <w:rFonts w:ascii="Tahoma" w:hAnsi="Tahoma" w:cs="Tahoma"/>
          <w:szCs w:val="22"/>
        </w:rPr>
        <w:t xml:space="preserve"> (66%) са междуфирмени</w:t>
      </w:r>
      <w:r w:rsidR="000801B3" w:rsidRPr="004C1D8B">
        <w:rPr>
          <w:rStyle w:val="FootnoteReference"/>
          <w:rFonts w:ascii="Tahoma" w:hAnsi="Tahoma" w:cs="Tahoma"/>
          <w:szCs w:val="22"/>
        </w:rPr>
        <w:footnoteReference w:id="1"/>
      </w:r>
      <w:r w:rsidR="007E29C8" w:rsidRPr="004C1D8B">
        <w:rPr>
          <w:rFonts w:ascii="Tahoma" w:hAnsi="Tahoma" w:cs="Tahoma"/>
          <w:szCs w:val="22"/>
        </w:rPr>
        <w:t xml:space="preserve"> </w:t>
      </w:r>
      <w:r w:rsidRPr="004C1D8B">
        <w:rPr>
          <w:rFonts w:ascii="Tahoma" w:hAnsi="Tahoma" w:cs="Tahoma"/>
          <w:szCs w:val="22"/>
        </w:rPr>
        <w:t>-</w:t>
      </w:r>
      <w:r w:rsidR="000801B3" w:rsidRPr="004C1D8B">
        <w:rPr>
          <w:rFonts w:ascii="Tahoma" w:hAnsi="Tahoma" w:cs="Tahoma"/>
          <w:szCs w:val="22"/>
        </w:rPr>
        <w:t xml:space="preserve"> ръст спрямо 2010 г. от </w:t>
      </w:r>
      <w:r w:rsidRPr="004C1D8B">
        <w:rPr>
          <w:rFonts w:ascii="Tahoma" w:hAnsi="Tahoma" w:cs="Tahoma"/>
          <w:szCs w:val="22"/>
        </w:rPr>
        <w:t>3,306 млрд.лв. (3,2%)</w:t>
      </w:r>
      <w:r w:rsidR="000801B3" w:rsidRPr="004C1D8B">
        <w:rPr>
          <w:rFonts w:ascii="Tahoma" w:hAnsi="Tahoma" w:cs="Tahoma"/>
          <w:szCs w:val="22"/>
        </w:rPr>
        <w:t>;</w:t>
      </w:r>
    </w:p>
    <w:p w:rsidR="000801B3" w:rsidRPr="004C1D8B" w:rsidRDefault="000801B3" w:rsidP="00902349">
      <w:pPr>
        <w:numPr>
          <w:ilvl w:val="0"/>
          <w:numId w:val="4"/>
        </w:numPr>
        <w:spacing w:after="120"/>
        <w:ind w:hanging="294"/>
        <w:jc w:val="both"/>
        <w:rPr>
          <w:rFonts w:ascii="Tahoma" w:hAnsi="Tahoma" w:cs="Tahoma"/>
          <w:szCs w:val="22"/>
        </w:rPr>
      </w:pPr>
      <w:r w:rsidRPr="004C1D8B">
        <w:rPr>
          <w:rFonts w:ascii="Tahoma" w:hAnsi="Tahoma" w:cs="Tahoma"/>
          <w:szCs w:val="22"/>
        </w:rPr>
        <w:t>50.8 млрд.лв</w:t>
      </w:r>
      <w:r w:rsidR="00486E69" w:rsidRPr="004C1D8B">
        <w:rPr>
          <w:rFonts w:ascii="Tahoma" w:hAnsi="Tahoma" w:cs="Tahoma"/>
          <w:szCs w:val="22"/>
        </w:rPr>
        <w:t>.</w:t>
      </w:r>
      <w:r w:rsidRPr="004C1D8B">
        <w:rPr>
          <w:rFonts w:ascii="Tahoma" w:hAnsi="Tahoma" w:cs="Tahoma"/>
          <w:szCs w:val="22"/>
        </w:rPr>
        <w:t xml:space="preserve"> (3</w:t>
      </w:r>
      <w:r w:rsidR="00DF6C66" w:rsidRPr="004C1D8B">
        <w:rPr>
          <w:rFonts w:ascii="Tahoma" w:hAnsi="Tahoma" w:cs="Tahoma"/>
          <w:szCs w:val="22"/>
        </w:rPr>
        <w:t>1</w:t>
      </w:r>
      <w:r w:rsidR="00486E69" w:rsidRPr="004C1D8B">
        <w:rPr>
          <w:rFonts w:ascii="Tahoma" w:hAnsi="Tahoma" w:cs="Tahoma"/>
          <w:szCs w:val="22"/>
        </w:rPr>
        <w:t>%) са</w:t>
      </w:r>
      <w:r w:rsidRPr="004C1D8B">
        <w:rPr>
          <w:rFonts w:ascii="Tahoma" w:hAnsi="Tahoma" w:cs="Tahoma"/>
          <w:szCs w:val="22"/>
        </w:rPr>
        <w:t xml:space="preserve"> "нетни"</w:t>
      </w:r>
      <w:r w:rsidRPr="004C1D8B">
        <w:rPr>
          <w:rStyle w:val="FootnoteReference"/>
          <w:rFonts w:ascii="Tahoma" w:hAnsi="Tahoma" w:cs="Tahoma"/>
          <w:szCs w:val="22"/>
        </w:rPr>
        <w:footnoteReference w:id="2"/>
      </w:r>
      <w:r w:rsidR="007E29C8" w:rsidRPr="004C1D8B">
        <w:rPr>
          <w:rFonts w:ascii="Tahoma" w:hAnsi="Tahoma" w:cs="Tahoma"/>
          <w:szCs w:val="22"/>
        </w:rPr>
        <w:t xml:space="preserve"> </w:t>
      </w:r>
      <w:r w:rsidR="00486E69" w:rsidRPr="004C1D8B">
        <w:rPr>
          <w:rFonts w:ascii="Tahoma" w:hAnsi="Tahoma" w:cs="Tahoma"/>
          <w:szCs w:val="22"/>
        </w:rPr>
        <w:t xml:space="preserve">- </w:t>
      </w:r>
      <w:r w:rsidRPr="004C1D8B">
        <w:rPr>
          <w:rFonts w:ascii="Tahoma" w:hAnsi="Tahoma" w:cs="Tahoma"/>
          <w:szCs w:val="22"/>
        </w:rPr>
        <w:t xml:space="preserve">ръст </w:t>
      </w:r>
      <w:r w:rsidR="00486E69" w:rsidRPr="004C1D8B">
        <w:rPr>
          <w:rFonts w:ascii="Tahoma" w:hAnsi="Tahoma" w:cs="Tahoma"/>
          <w:szCs w:val="22"/>
        </w:rPr>
        <w:t xml:space="preserve">спрямо 2010 г. </w:t>
      </w:r>
      <w:r w:rsidRPr="004C1D8B">
        <w:rPr>
          <w:rFonts w:ascii="Tahoma" w:hAnsi="Tahoma" w:cs="Tahoma"/>
          <w:szCs w:val="22"/>
        </w:rPr>
        <w:t xml:space="preserve">от </w:t>
      </w:r>
      <w:r w:rsidR="00A56F2B" w:rsidRPr="004C1D8B">
        <w:rPr>
          <w:rFonts w:ascii="Tahoma" w:hAnsi="Tahoma" w:cs="Tahoma"/>
          <w:szCs w:val="22"/>
        </w:rPr>
        <w:t>2,304 млрд.лв (</w:t>
      </w:r>
      <w:r w:rsidR="001A186C" w:rsidRPr="004C1D8B">
        <w:rPr>
          <w:rFonts w:ascii="Tahoma" w:hAnsi="Tahoma" w:cs="Tahoma"/>
          <w:szCs w:val="22"/>
        </w:rPr>
        <w:t>4,8</w:t>
      </w:r>
      <w:r w:rsidR="00DF6C66" w:rsidRPr="004C1D8B">
        <w:rPr>
          <w:rFonts w:ascii="Tahoma" w:hAnsi="Tahoma" w:cs="Tahoma"/>
          <w:szCs w:val="22"/>
        </w:rPr>
        <w:t xml:space="preserve"> </w:t>
      </w:r>
      <w:r w:rsidRPr="004C1D8B">
        <w:rPr>
          <w:rFonts w:ascii="Tahoma" w:hAnsi="Tahoma" w:cs="Tahoma"/>
          <w:szCs w:val="22"/>
        </w:rPr>
        <w:t>%</w:t>
      </w:r>
      <w:r w:rsidR="00A56F2B" w:rsidRPr="004C1D8B">
        <w:rPr>
          <w:rFonts w:ascii="Tahoma" w:hAnsi="Tahoma" w:cs="Tahoma"/>
          <w:szCs w:val="22"/>
        </w:rPr>
        <w:t>)</w:t>
      </w:r>
      <w:r w:rsidRPr="004C1D8B">
        <w:rPr>
          <w:rFonts w:ascii="Tahoma" w:hAnsi="Tahoma" w:cs="Tahoma"/>
          <w:szCs w:val="22"/>
        </w:rPr>
        <w:t>;</w:t>
      </w:r>
    </w:p>
    <w:p w:rsidR="000801B3" w:rsidRPr="004C1D8B" w:rsidRDefault="0084511E" w:rsidP="00902349">
      <w:pPr>
        <w:numPr>
          <w:ilvl w:val="0"/>
          <w:numId w:val="4"/>
        </w:numPr>
        <w:spacing w:after="120"/>
        <w:ind w:left="714" w:hanging="294"/>
        <w:jc w:val="both"/>
        <w:rPr>
          <w:rFonts w:ascii="Tahoma" w:hAnsi="Tahoma" w:cs="Tahoma"/>
          <w:szCs w:val="22"/>
        </w:rPr>
      </w:pPr>
      <w:r w:rsidRPr="004C1D8B">
        <w:rPr>
          <w:rFonts w:ascii="Tahoma" w:hAnsi="Tahoma" w:cs="Tahoma"/>
          <w:szCs w:val="22"/>
        </w:rPr>
        <w:t>4.6</w:t>
      </w:r>
      <w:r w:rsidR="00DF6C66" w:rsidRPr="004C1D8B">
        <w:rPr>
          <w:rFonts w:ascii="Tahoma" w:hAnsi="Tahoma" w:cs="Tahoma"/>
          <w:szCs w:val="22"/>
        </w:rPr>
        <w:t xml:space="preserve"> млрд.лв</w:t>
      </w:r>
      <w:r w:rsidR="00486E69" w:rsidRPr="004C1D8B">
        <w:rPr>
          <w:rFonts w:ascii="Tahoma" w:hAnsi="Tahoma" w:cs="Tahoma"/>
          <w:szCs w:val="22"/>
        </w:rPr>
        <w:t>.</w:t>
      </w:r>
      <w:r w:rsidR="00DF6C66" w:rsidRPr="004C1D8B">
        <w:rPr>
          <w:rFonts w:ascii="Tahoma" w:hAnsi="Tahoma" w:cs="Tahoma"/>
          <w:szCs w:val="22"/>
        </w:rPr>
        <w:t xml:space="preserve"> (3</w:t>
      </w:r>
      <w:r w:rsidR="000801B3" w:rsidRPr="004C1D8B">
        <w:rPr>
          <w:rFonts w:ascii="Tahoma" w:hAnsi="Tahoma" w:cs="Tahoma"/>
          <w:szCs w:val="22"/>
        </w:rPr>
        <w:t xml:space="preserve">%) </w:t>
      </w:r>
      <w:r w:rsidR="00486E69" w:rsidRPr="004C1D8B">
        <w:rPr>
          <w:rFonts w:ascii="Tahoma" w:hAnsi="Tahoma" w:cs="Tahoma"/>
          <w:szCs w:val="22"/>
        </w:rPr>
        <w:t xml:space="preserve">са </w:t>
      </w:r>
      <w:r w:rsidR="000801B3" w:rsidRPr="004C1D8B">
        <w:rPr>
          <w:rFonts w:ascii="Tahoma" w:hAnsi="Tahoma" w:cs="Tahoma"/>
          <w:szCs w:val="22"/>
        </w:rPr>
        <w:t xml:space="preserve">данъчни и осигурителни </w:t>
      </w:r>
      <w:r w:rsidR="00DF6C66" w:rsidRPr="004C1D8B">
        <w:rPr>
          <w:rFonts w:ascii="Tahoma" w:hAnsi="Tahoma" w:cs="Tahoma"/>
          <w:szCs w:val="22"/>
        </w:rPr>
        <w:t>–</w:t>
      </w:r>
      <w:r w:rsidR="00E73D3D" w:rsidRPr="004C1D8B">
        <w:rPr>
          <w:rFonts w:ascii="Tahoma" w:hAnsi="Tahoma" w:cs="Tahoma"/>
          <w:szCs w:val="22"/>
        </w:rPr>
        <w:t xml:space="preserve"> </w:t>
      </w:r>
      <w:r w:rsidR="00DF6C66" w:rsidRPr="004C1D8B">
        <w:rPr>
          <w:rFonts w:ascii="Tahoma" w:hAnsi="Tahoma" w:cs="Tahoma"/>
          <w:szCs w:val="22"/>
        </w:rPr>
        <w:t xml:space="preserve">намаление с </w:t>
      </w:r>
      <w:r w:rsidR="00A56F2B" w:rsidRPr="004C1D8B">
        <w:rPr>
          <w:rFonts w:ascii="Tahoma" w:hAnsi="Tahoma" w:cs="Tahoma"/>
          <w:szCs w:val="22"/>
        </w:rPr>
        <w:t>418 млн.лв. (-</w:t>
      </w:r>
      <w:r w:rsidR="001A186C" w:rsidRPr="004C1D8B">
        <w:rPr>
          <w:rFonts w:ascii="Tahoma" w:hAnsi="Tahoma" w:cs="Tahoma"/>
          <w:szCs w:val="22"/>
        </w:rPr>
        <w:t>8</w:t>
      </w:r>
      <w:r w:rsidR="00DF6C66" w:rsidRPr="004C1D8B">
        <w:rPr>
          <w:rFonts w:ascii="Tahoma" w:hAnsi="Tahoma" w:cs="Tahoma"/>
          <w:szCs w:val="22"/>
        </w:rPr>
        <w:t>,4</w:t>
      </w:r>
      <w:r w:rsidR="000801B3" w:rsidRPr="004C1D8B">
        <w:rPr>
          <w:rFonts w:ascii="Tahoma" w:hAnsi="Tahoma" w:cs="Tahoma"/>
          <w:szCs w:val="22"/>
        </w:rPr>
        <w:t xml:space="preserve"> %</w:t>
      </w:r>
      <w:r w:rsidR="00A56F2B" w:rsidRPr="004C1D8B">
        <w:rPr>
          <w:rFonts w:ascii="Tahoma" w:hAnsi="Tahoma" w:cs="Tahoma"/>
          <w:szCs w:val="22"/>
        </w:rPr>
        <w:t>)</w:t>
      </w:r>
      <w:r w:rsidR="000801B3" w:rsidRPr="004C1D8B">
        <w:rPr>
          <w:rFonts w:ascii="Tahoma" w:hAnsi="Tahoma" w:cs="Tahoma"/>
          <w:szCs w:val="22"/>
        </w:rPr>
        <w:t>.</w:t>
      </w:r>
    </w:p>
    <w:p w:rsidR="007B4012" w:rsidRDefault="00AD7A80" w:rsidP="007B4012">
      <w:pPr>
        <w:spacing w:after="120"/>
        <w:jc w:val="center"/>
        <w:rPr>
          <w:rFonts w:ascii="Tahoma" w:hAnsi="Tahoma" w:cs="Tahoma"/>
          <w:szCs w:val="22"/>
        </w:rPr>
      </w:pPr>
      <w:r w:rsidRPr="004C1D8B">
        <w:rPr>
          <w:noProof/>
          <w:sz w:val="28"/>
          <w:lang w:eastAsia="bg-BG"/>
        </w:rPr>
        <w:lastRenderedPageBreak/>
        <w:drawing>
          <wp:inline distT="0" distB="0" distL="0" distR="0" wp14:anchorId="159EDADA" wp14:editId="0A3E8CEE">
            <wp:extent cx="5524500" cy="2343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1D8B" w:rsidRPr="004C1D8B" w:rsidRDefault="004C1D8B" w:rsidP="007B4012">
      <w:pPr>
        <w:spacing w:after="120"/>
        <w:jc w:val="center"/>
        <w:rPr>
          <w:rFonts w:ascii="Tahoma" w:hAnsi="Tahoma" w:cs="Tahoma"/>
          <w:szCs w:val="22"/>
        </w:rPr>
      </w:pPr>
    </w:p>
    <w:p w:rsidR="000801B3" w:rsidRPr="004C1D8B" w:rsidRDefault="000801B3" w:rsidP="00902349">
      <w:pPr>
        <w:pStyle w:val="Heading2"/>
        <w:shd w:val="clear" w:color="auto" w:fill="C6D9F1"/>
        <w:spacing w:after="120"/>
        <w:ind w:firstLine="426"/>
        <w:rPr>
          <w:rFonts w:ascii="Tahoma" w:hAnsi="Tahoma" w:cs="Tahoma"/>
          <w:caps/>
          <w:sz w:val="24"/>
          <w:szCs w:val="22"/>
        </w:rPr>
      </w:pPr>
      <w:r w:rsidRPr="004C1D8B">
        <w:rPr>
          <w:rFonts w:ascii="Tahoma" w:hAnsi="Tahoma" w:cs="Tahoma"/>
          <w:caps/>
          <w:sz w:val="24"/>
          <w:szCs w:val="22"/>
        </w:rPr>
        <w:t>І</w:t>
      </w:r>
      <w:r w:rsidR="00084AB2" w:rsidRPr="004C1D8B">
        <w:rPr>
          <w:rFonts w:ascii="Tahoma" w:hAnsi="Tahoma" w:cs="Tahoma"/>
          <w:caps/>
          <w:sz w:val="24"/>
          <w:szCs w:val="22"/>
          <w:lang w:val="en-US"/>
        </w:rPr>
        <w:t>V</w:t>
      </w:r>
      <w:r w:rsidRPr="004C1D8B">
        <w:rPr>
          <w:rFonts w:ascii="Tahoma" w:hAnsi="Tahoma" w:cs="Tahoma"/>
          <w:caps/>
          <w:sz w:val="24"/>
          <w:szCs w:val="22"/>
        </w:rPr>
        <w:t>. Междуфирмени задължения</w:t>
      </w:r>
    </w:p>
    <w:p w:rsidR="00111B61" w:rsidRPr="004C1D8B" w:rsidRDefault="000801B3" w:rsidP="00902BF9">
      <w:pPr>
        <w:spacing w:after="120"/>
        <w:ind w:firstLine="425"/>
        <w:jc w:val="both"/>
        <w:rPr>
          <w:rFonts w:ascii="Tahoma" w:hAnsi="Tahoma" w:cs="Tahoma"/>
          <w:szCs w:val="22"/>
        </w:rPr>
      </w:pPr>
      <w:r w:rsidRPr="004C1D8B">
        <w:rPr>
          <w:rFonts w:ascii="Tahoma" w:hAnsi="Tahoma" w:cs="Tahoma"/>
          <w:szCs w:val="22"/>
        </w:rPr>
        <w:t xml:space="preserve">Увеличението на </w:t>
      </w:r>
      <w:r w:rsidRPr="004C1D8B">
        <w:rPr>
          <w:rFonts w:ascii="Tahoma" w:hAnsi="Tahoma" w:cs="Tahoma"/>
          <w:b/>
          <w:szCs w:val="22"/>
        </w:rPr>
        <w:t>междуфирмените задължения</w:t>
      </w:r>
      <w:r w:rsidRPr="004C1D8B">
        <w:rPr>
          <w:rFonts w:ascii="Tahoma" w:hAnsi="Tahoma" w:cs="Tahoma"/>
          <w:szCs w:val="22"/>
        </w:rPr>
        <w:t xml:space="preserve"> през 2011 г. спрямо 2010 г. е </w:t>
      </w:r>
      <w:r w:rsidR="00680881" w:rsidRPr="004C1D8B">
        <w:rPr>
          <w:rFonts w:ascii="Tahoma" w:hAnsi="Tahoma" w:cs="Tahoma"/>
          <w:szCs w:val="22"/>
        </w:rPr>
        <w:t>3,3</w:t>
      </w:r>
      <w:r w:rsidRPr="004C1D8B">
        <w:rPr>
          <w:rFonts w:ascii="Tahoma" w:hAnsi="Tahoma" w:cs="Tahoma"/>
          <w:szCs w:val="22"/>
        </w:rPr>
        <w:t xml:space="preserve"> млрд. лв.</w:t>
      </w:r>
      <w:r w:rsidR="008976D9" w:rsidRPr="004C1D8B">
        <w:rPr>
          <w:rFonts w:ascii="Tahoma" w:hAnsi="Tahoma" w:cs="Tahoma"/>
          <w:szCs w:val="22"/>
        </w:rPr>
        <w:t xml:space="preserve"> (</w:t>
      </w:r>
      <w:r w:rsidR="00680881" w:rsidRPr="004C1D8B">
        <w:rPr>
          <w:rFonts w:ascii="Tahoma" w:hAnsi="Tahoma" w:cs="Tahoma"/>
          <w:szCs w:val="22"/>
        </w:rPr>
        <w:t>3,</w:t>
      </w:r>
      <w:r w:rsidR="008976D9" w:rsidRPr="004C1D8B">
        <w:rPr>
          <w:rFonts w:ascii="Tahoma" w:hAnsi="Tahoma" w:cs="Tahoma"/>
          <w:szCs w:val="22"/>
        </w:rPr>
        <w:t>2</w:t>
      </w:r>
      <w:r w:rsidR="00680881" w:rsidRPr="004C1D8B">
        <w:rPr>
          <w:rFonts w:ascii="Tahoma" w:hAnsi="Tahoma" w:cs="Tahoma"/>
          <w:szCs w:val="22"/>
        </w:rPr>
        <w:t xml:space="preserve"> </w:t>
      </w:r>
      <w:r w:rsidRPr="004C1D8B">
        <w:rPr>
          <w:rFonts w:ascii="Tahoma" w:hAnsi="Tahoma" w:cs="Tahoma"/>
          <w:szCs w:val="22"/>
        </w:rPr>
        <w:t>%</w:t>
      </w:r>
      <w:r w:rsidR="008976D9" w:rsidRPr="004C1D8B">
        <w:rPr>
          <w:rFonts w:ascii="Tahoma" w:hAnsi="Tahoma" w:cs="Tahoma"/>
          <w:szCs w:val="22"/>
        </w:rPr>
        <w:t>)</w:t>
      </w:r>
      <w:r w:rsidR="00902BF9" w:rsidRPr="004C1D8B">
        <w:rPr>
          <w:rFonts w:ascii="Tahoma" w:hAnsi="Tahoma" w:cs="Tahoma"/>
          <w:szCs w:val="22"/>
        </w:rPr>
        <w:t>, в т.ч.:</w:t>
      </w:r>
    </w:p>
    <w:p w:rsidR="000801B3" w:rsidRPr="004C1D8B" w:rsidRDefault="000801B3" w:rsidP="00902349">
      <w:pPr>
        <w:numPr>
          <w:ilvl w:val="0"/>
          <w:numId w:val="18"/>
        </w:numPr>
        <w:spacing w:after="120"/>
        <w:ind w:left="709" w:hanging="284"/>
        <w:jc w:val="both"/>
        <w:rPr>
          <w:rFonts w:ascii="Tahoma" w:hAnsi="Tahoma" w:cs="Tahoma"/>
          <w:szCs w:val="22"/>
        </w:rPr>
      </w:pPr>
      <w:r w:rsidRPr="004C1D8B">
        <w:rPr>
          <w:rFonts w:ascii="Tahoma" w:hAnsi="Tahoma" w:cs="Tahoma"/>
          <w:b/>
          <w:szCs w:val="22"/>
        </w:rPr>
        <w:t>Задължения</w:t>
      </w:r>
      <w:r w:rsidR="00902BF9" w:rsidRPr="004C1D8B">
        <w:rPr>
          <w:rFonts w:ascii="Tahoma" w:hAnsi="Tahoma" w:cs="Tahoma"/>
          <w:b/>
          <w:szCs w:val="22"/>
        </w:rPr>
        <w:t>та</w:t>
      </w:r>
      <w:r w:rsidRPr="004C1D8B">
        <w:rPr>
          <w:rFonts w:ascii="Tahoma" w:hAnsi="Tahoma" w:cs="Tahoma"/>
          <w:b/>
          <w:szCs w:val="22"/>
        </w:rPr>
        <w:t xml:space="preserve"> на предприятията в група и асоциирани и смесени предприятия </w:t>
      </w:r>
      <w:r w:rsidRPr="004C1D8B">
        <w:rPr>
          <w:rFonts w:ascii="Tahoma" w:hAnsi="Tahoma" w:cs="Tahoma"/>
          <w:szCs w:val="22"/>
        </w:rPr>
        <w:t xml:space="preserve">към </w:t>
      </w:r>
      <w:r w:rsidR="004D5B68" w:rsidRPr="004C1D8B">
        <w:rPr>
          <w:rFonts w:ascii="Tahoma" w:hAnsi="Tahoma" w:cs="Tahoma"/>
          <w:szCs w:val="22"/>
        </w:rPr>
        <w:t xml:space="preserve">края на </w:t>
      </w:r>
      <w:r w:rsidRPr="004C1D8B">
        <w:rPr>
          <w:rFonts w:ascii="Tahoma" w:hAnsi="Tahoma" w:cs="Tahoma"/>
          <w:szCs w:val="22"/>
        </w:rPr>
        <w:t xml:space="preserve">2011 г. достигнаха </w:t>
      </w:r>
      <w:r w:rsidR="00E73D3D" w:rsidRPr="004C1D8B">
        <w:rPr>
          <w:rFonts w:ascii="Tahoma" w:hAnsi="Tahoma" w:cs="Tahoma"/>
          <w:szCs w:val="22"/>
        </w:rPr>
        <w:t>38,5</w:t>
      </w:r>
      <w:r w:rsidRPr="004C1D8B">
        <w:rPr>
          <w:rFonts w:ascii="Tahoma" w:hAnsi="Tahoma" w:cs="Tahoma"/>
          <w:szCs w:val="22"/>
        </w:rPr>
        <w:t xml:space="preserve"> млрд. лв. и са по-големи с </w:t>
      </w:r>
      <w:r w:rsidR="00680881" w:rsidRPr="004C1D8B">
        <w:rPr>
          <w:rFonts w:ascii="Tahoma" w:hAnsi="Tahoma" w:cs="Tahoma"/>
          <w:szCs w:val="22"/>
        </w:rPr>
        <w:t>1,4</w:t>
      </w:r>
      <w:r w:rsidRPr="004C1D8B">
        <w:rPr>
          <w:rFonts w:ascii="Tahoma" w:hAnsi="Tahoma" w:cs="Tahoma"/>
          <w:szCs w:val="22"/>
        </w:rPr>
        <w:t xml:space="preserve"> млрд. лв. (</w:t>
      </w:r>
      <w:r w:rsidR="001A186C" w:rsidRPr="004C1D8B">
        <w:rPr>
          <w:rFonts w:ascii="Tahoma" w:hAnsi="Tahoma" w:cs="Tahoma"/>
          <w:szCs w:val="22"/>
        </w:rPr>
        <w:t>3,8</w:t>
      </w:r>
      <w:r w:rsidR="00680881" w:rsidRPr="004C1D8B">
        <w:rPr>
          <w:rFonts w:ascii="Tahoma" w:hAnsi="Tahoma" w:cs="Tahoma"/>
          <w:szCs w:val="22"/>
        </w:rPr>
        <w:t xml:space="preserve"> %</w:t>
      </w:r>
      <w:r w:rsidRPr="004C1D8B">
        <w:rPr>
          <w:rFonts w:ascii="Tahoma" w:hAnsi="Tahoma" w:cs="Tahoma"/>
          <w:szCs w:val="22"/>
        </w:rPr>
        <w:t>) спрямо 2010 г.</w:t>
      </w:r>
    </w:p>
    <w:p w:rsidR="00902BF9" w:rsidRPr="004C1D8B" w:rsidRDefault="000801B3" w:rsidP="005A621E">
      <w:pPr>
        <w:numPr>
          <w:ilvl w:val="0"/>
          <w:numId w:val="18"/>
        </w:numPr>
        <w:spacing w:after="120"/>
        <w:ind w:left="709" w:hanging="284"/>
        <w:jc w:val="both"/>
        <w:rPr>
          <w:rFonts w:ascii="Tahoma" w:hAnsi="Tahoma" w:cs="Tahoma"/>
          <w:szCs w:val="22"/>
        </w:rPr>
      </w:pPr>
      <w:r w:rsidRPr="004C1D8B">
        <w:rPr>
          <w:rFonts w:ascii="Tahoma" w:hAnsi="Tahoma" w:cs="Tahoma"/>
          <w:b/>
          <w:szCs w:val="22"/>
        </w:rPr>
        <w:t xml:space="preserve">Задълженията към доставчици </w:t>
      </w:r>
      <w:r w:rsidRPr="004C1D8B">
        <w:rPr>
          <w:rFonts w:ascii="Tahoma" w:hAnsi="Tahoma" w:cs="Tahoma"/>
          <w:szCs w:val="22"/>
        </w:rPr>
        <w:t>в края на 2011 г</w:t>
      </w:r>
      <w:r w:rsidRPr="004C1D8B">
        <w:rPr>
          <w:rFonts w:ascii="Tahoma" w:hAnsi="Tahoma" w:cs="Tahoma"/>
          <w:b/>
          <w:szCs w:val="22"/>
        </w:rPr>
        <w:t xml:space="preserve">. </w:t>
      </w:r>
      <w:r w:rsidRPr="004C1D8B">
        <w:rPr>
          <w:rFonts w:ascii="Tahoma" w:hAnsi="Tahoma" w:cs="Tahoma"/>
          <w:szCs w:val="22"/>
        </w:rPr>
        <w:t xml:space="preserve">са 30.6 млрд. лв. и са повече с </w:t>
      </w:r>
      <w:r w:rsidR="00680881" w:rsidRPr="004C1D8B">
        <w:rPr>
          <w:rFonts w:ascii="Tahoma" w:hAnsi="Tahoma" w:cs="Tahoma"/>
          <w:szCs w:val="22"/>
        </w:rPr>
        <w:t>437 млн.лв.</w:t>
      </w:r>
      <w:r w:rsidRPr="004C1D8B">
        <w:rPr>
          <w:rFonts w:ascii="Tahoma" w:hAnsi="Tahoma" w:cs="Tahoma"/>
          <w:szCs w:val="22"/>
        </w:rPr>
        <w:t xml:space="preserve"> (</w:t>
      </w:r>
      <w:r w:rsidR="001A186C" w:rsidRPr="004C1D8B">
        <w:rPr>
          <w:rFonts w:ascii="Tahoma" w:hAnsi="Tahoma" w:cs="Tahoma"/>
          <w:szCs w:val="22"/>
        </w:rPr>
        <w:t>1</w:t>
      </w:r>
      <w:r w:rsidR="00680881" w:rsidRPr="004C1D8B">
        <w:rPr>
          <w:rFonts w:ascii="Tahoma" w:hAnsi="Tahoma" w:cs="Tahoma"/>
          <w:szCs w:val="22"/>
        </w:rPr>
        <w:t>,4</w:t>
      </w:r>
      <w:r w:rsidRPr="004C1D8B">
        <w:rPr>
          <w:rFonts w:ascii="Tahoma" w:hAnsi="Tahoma" w:cs="Tahoma"/>
          <w:szCs w:val="22"/>
        </w:rPr>
        <w:t xml:space="preserve">%) в сравнение с края на 2010 г. </w:t>
      </w:r>
    </w:p>
    <w:p w:rsidR="000801B3" w:rsidRPr="004C1D8B" w:rsidRDefault="00902BF9" w:rsidP="00902BF9">
      <w:pPr>
        <w:spacing w:after="120"/>
        <w:jc w:val="center"/>
        <w:rPr>
          <w:rFonts w:ascii="Tahoma" w:hAnsi="Tahoma" w:cs="Tahoma"/>
          <w:szCs w:val="22"/>
        </w:rPr>
      </w:pPr>
      <w:r w:rsidRPr="004C1D8B">
        <w:rPr>
          <w:noProof/>
          <w:sz w:val="28"/>
          <w:lang w:eastAsia="bg-BG"/>
        </w:rPr>
        <w:drawing>
          <wp:inline distT="0" distB="0" distL="0" distR="0" wp14:anchorId="646F410B" wp14:editId="1B1F3783">
            <wp:extent cx="4572000" cy="1809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2037" w:rsidRPr="004C1D8B" w:rsidRDefault="00E12037" w:rsidP="00902BF9">
      <w:pPr>
        <w:spacing w:after="120"/>
        <w:jc w:val="center"/>
        <w:rPr>
          <w:rFonts w:ascii="Tahoma" w:hAnsi="Tahoma" w:cs="Tahoma"/>
          <w:szCs w:val="22"/>
        </w:rPr>
      </w:pPr>
    </w:p>
    <w:p w:rsidR="000801B3" w:rsidRPr="004C1D8B" w:rsidRDefault="000801B3" w:rsidP="00902349">
      <w:pPr>
        <w:pStyle w:val="Heading2"/>
        <w:shd w:val="clear" w:color="auto" w:fill="C6D9F1"/>
        <w:spacing w:after="120"/>
        <w:ind w:firstLine="426"/>
        <w:rPr>
          <w:rFonts w:ascii="Tahoma" w:hAnsi="Tahoma" w:cs="Tahoma"/>
          <w:caps/>
          <w:sz w:val="24"/>
          <w:szCs w:val="22"/>
        </w:rPr>
      </w:pPr>
      <w:r w:rsidRPr="004C1D8B">
        <w:rPr>
          <w:rFonts w:ascii="Tahoma" w:hAnsi="Tahoma" w:cs="Tahoma"/>
          <w:caps/>
          <w:sz w:val="24"/>
          <w:szCs w:val="22"/>
        </w:rPr>
        <w:t>V. "Нетни" задължения</w:t>
      </w:r>
    </w:p>
    <w:p w:rsidR="000801B3" w:rsidRPr="004C1D8B" w:rsidRDefault="000801B3" w:rsidP="00902349">
      <w:pPr>
        <w:spacing w:after="120"/>
        <w:ind w:firstLine="425"/>
        <w:jc w:val="both"/>
        <w:rPr>
          <w:rFonts w:ascii="Tahoma" w:hAnsi="Tahoma" w:cs="Tahoma"/>
          <w:szCs w:val="22"/>
        </w:rPr>
      </w:pPr>
      <w:r w:rsidRPr="004C1D8B">
        <w:rPr>
          <w:rFonts w:ascii="Tahoma" w:hAnsi="Tahoma" w:cs="Tahoma"/>
          <w:szCs w:val="22"/>
        </w:rPr>
        <w:t xml:space="preserve">Към края на 2011 г. "нетната" задлъжнялост на предприятията достигна 50.8 млрд. лв. В сравнение с </w:t>
      </w:r>
      <w:r w:rsidR="004D5B68" w:rsidRPr="004C1D8B">
        <w:rPr>
          <w:rFonts w:ascii="Tahoma" w:hAnsi="Tahoma" w:cs="Tahoma"/>
          <w:szCs w:val="22"/>
        </w:rPr>
        <w:t xml:space="preserve">края на </w:t>
      </w:r>
      <w:r w:rsidRPr="004C1D8B">
        <w:rPr>
          <w:rFonts w:ascii="Tahoma" w:hAnsi="Tahoma" w:cs="Tahoma"/>
          <w:szCs w:val="22"/>
        </w:rPr>
        <w:t>2010</w:t>
      </w:r>
      <w:r w:rsidR="00FE5AA7" w:rsidRPr="004C1D8B">
        <w:rPr>
          <w:rFonts w:ascii="Tahoma" w:hAnsi="Tahoma" w:cs="Tahoma"/>
          <w:szCs w:val="22"/>
        </w:rPr>
        <w:t xml:space="preserve"> </w:t>
      </w:r>
      <w:r w:rsidRPr="004C1D8B">
        <w:rPr>
          <w:rFonts w:ascii="Tahoma" w:hAnsi="Tahoma" w:cs="Tahoma"/>
          <w:szCs w:val="22"/>
        </w:rPr>
        <w:t xml:space="preserve">г. тя е </w:t>
      </w:r>
      <w:r w:rsidR="00FE5AA7" w:rsidRPr="004C1D8B">
        <w:rPr>
          <w:rFonts w:ascii="Tahoma" w:hAnsi="Tahoma" w:cs="Tahoma"/>
          <w:szCs w:val="22"/>
        </w:rPr>
        <w:t>по-голяма</w:t>
      </w:r>
      <w:r w:rsidRPr="004C1D8B">
        <w:rPr>
          <w:rFonts w:ascii="Tahoma" w:hAnsi="Tahoma" w:cs="Tahoma"/>
          <w:szCs w:val="22"/>
        </w:rPr>
        <w:t xml:space="preserve"> с </w:t>
      </w:r>
      <w:r w:rsidR="00680881" w:rsidRPr="004C1D8B">
        <w:rPr>
          <w:rFonts w:ascii="Tahoma" w:hAnsi="Tahoma" w:cs="Tahoma"/>
          <w:szCs w:val="22"/>
        </w:rPr>
        <w:t>2,3</w:t>
      </w:r>
      <w:r w:rsidR="00F54214" w:rsidRPr="004C1D8B">
        <w:rPr>
          <w:rFonts w:ascii="Tahoma" w:hAnsi="Tahoma" w:cs="Tahoma"/>
          <w:szCs w:val="22"/>
        </w:rPr>
        <w:t xml:space="preserve"> млрд. лв. (</w:t>
      </w:r>
      <w:r w:rsidR="001A186C" w:rsidRPr="004C1D8B">
        <w:rPr>
          <w:rFonts w:ascii="Tahoma" w:hAnsi="Tahoma" w:cs="Tahoma"/>
          <w:szCs w:val="22"/>
        </w:rPr>
        <w:t>4,8</w:t>
      </w:r>
      <w:r w:rsidRPr="004C1D8B">
        <w:rPr>
          <w:rFonts w:ascii="Tahoma" w:hAnsi="Tahoma" w:cs="Tahoma"/>
          <w:szCs w:val="22"/>
        </w:rPr>
        <w:t xml:space="preserve"> %).</w:t>
      </w:r>
    </w:p>
    <w:p w:rsidR="000801B3" w:rsidRPr="004C1D8B" w:rsidRDefault="000801B3" w:rsidP="00902349">
      <w:pPr>
        <w:spacing w:after="120"/>
        <w:ind w:firstLine="425"/>
        <w:jc w:val="both"/>
        <w:rPr>
          <w:rFonts w:ascii="Tahoma" w:hAnsi="Tahoma" w:cs="Tahoma"/>
          <w:szCs w:val="22"/>
        </w:rPr>
      </w:pPr>
      <w:r w:rsidRPr="004C1D8B">
        <w:rPr>
          <w:rFonts w:ascii="Tahoma" w:hAnsi="Tahoma" w:cs="Tahoma"/>
          <w:szCs w:val="22"/>
        </w:rPr>
        <w:t xml:space="preserve">От </w:t>
      </w:r>
      <w:r w:rsidR="004D5B68" w:rsidRPr="004C1D8B">
        <w:rPr>
          <w:rFonts w:ascii="Tahoma" w:hAnsi="Tahoma" w:cs="Tahoma"/>
          <w:szCs w:val="22"/>
        </w:rPr>
        <w:t>„</w:t>
      </w:r>
      <w:r w:rsidRPr="004C1D8B">
        <w:rPr>
          <w:rFonts w:ascii="Tahoma" w:hAnsi="Tahoma" w:cs="Tahoma"/>
          <w:szCs w:val="22"/>
        </w:rPr>
        <w:t>нетните</w:t>
      </w:r>
      <w:r w:rsidR="004D5B68" w:rsidRPr="004C1D8B">
        <w:rPr>
          <w:rFonts w:ascii="Tahoma" w:hAnsi="Tahoma" w:cs="Tahoma"/>
          <w:szCs w:val="22"/>
        </w:rPr>
        <w:t>“</w:t>
      </w:r>
      <w:r w:rsidRPr="004C1D8B">
        <w:rPr>
          <w:rFonts w:ascii="Tahoma" w:hAnsi="Tahoma" w:cs="Tahoma"/>
          <w:szCs w:val="22"/>
        </w:rPr>
        <w:t xml:space="preserve"> задължения най-бързо нарастват дълговете </w:t>
      </w:r>
      <w:r w:rsidRPr="004C1D8B">
        <w:rPr>
          <w:rFonts w:ascii="Tahoma" w:hAnsi="Tahoma" w:cs="Tahoma"/>
          <w:b/>
          <w:szCs w:val="22"/>
        </w:rPr>
        <w:t>към финансови предприятия</w:t>
      </w:r>
      <w:r w:rsidRPr="004C1D8B">
        <w:rPr>
          <w:rFonts w:ascii="Tahoma" w:hAnsi="Tahoma" w:cs="Tahoma"/>
          <w:szCs w:val="22"/>
        </w:rPr>
        <w:t xml:space="preserve">. Увеличението при тях е с </w:t>
      </w:r>
      <w:r w:rsidR="00680881" w:rsidRPr="004C1D8B">
        <w:rPr>
          <w:rFonts w:ascii="Tahoma" w:hAnsi="Tahoma" w:cs="Tahoma"/>
          <w:szCs w:val="22"/>
        </w:rPr>
        <w:t>2,2</w:t>
      </w:r>
      <w:r w:rsidR="007B4012" w:rsidRPr="004C1D8B">
        <w:rPr>
          <w:rFonts w:ascii="Tahoma" w:hAnsi="Tahoma" w:cs="Tahoma"/>
          <w:szCs w:val="22"/>
        </w:rPr>
        <w:t>62</w:t>
      </w:r>
      <w:r w:rsidRPr="004C1D8B">
        <w:rPr>
          <w:rFonts w:ascii="Tahoma" w:hAnsi="Tahoma" w:cs="Tahoma"/>
          <w:szCs w:val="22"/>
        </w:rPr>
        <w:t xml:space="preserve"> млрд. лв. (</w:t>
      </w:r>
      <w:r w:rsidR="00680881" w:rsidRPr="004C1D8B">
        <w:rPr>
          <w:rFonts w:ascii="Tahoma" w:hAnsi="Tahoma" w:cs="Tahoma"/>
          <w:szCs w:val="22"/>
        </w:rPr>
        <w:t>4,</w:t>
      </w:r>
      <w:r w:rsidR="001A186C" w:rsidRPr="004C1D8B">
        <w:rPr>
          <w:rFonts w:ascii="Tahoma" w:hAnsi="Tahoma" w:cs="Tahoma"/>
          <w:szCs w:val="22"/>
        </w:rPr>
        <w:t>9</w:t>
      </w:r>
      <w:r w:rsidRPr="004C1D8B">
        <w:rPr>
          <w:rFonts w:ascii="Tahoma" w:hAnsi="Tahoma" w:cs="Tahoma"/>
          <w:szCs w:val="22"/>
        </w:rPr>
        <w:t xml:space="preserve"> %). </w:t>
      </w:r>
    </w:p>
    <w:p w:rsidR="00BB235B" w:rsidRPr="004C1D8B" w:rsidRDefault="00BB235B" w:rsidP="00BB235B">
      <w:pPr>
        <w:spacing w:after="120"/>
        <w:jc w:val="center"/>
        <w:rPr>
          <w:rFonts w:ascii="Tahoma" w:hAnsi="Tahoma" w:cs="Tahoma"/>
          <w:szCs w:val="22"/>
        </w:rPr>
      </w:pPr>
      <w:r w:rsidRPr="004C1D8B">
        <w:rPr>
          <w:noProof/>
          <w:sz w:val="28"/>
          <w:lang w:eastAsia="bg-BG"/>
        </w:rPr>
        <w:drawing>
          <wp:inline distT="0" distB="0" distL="0" distR="0" wp14:anchorId="26D87E60" wp14:editId="5A74DFF2">
            <wp:extent cx="4572000" cy="19240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621E" w:rsidRPr="004C1D8B" w:rsidRDefault="005A621E" w:rsidP="005A621E">
      <w:pPr>
        <w:spacing w:after="120"/>
        <w:ind w:firstLine="426"/>
        <w:jc w:val="both"/>
        <w:rPr>
          <w:rFonts w:ascii="Tahoma" w:hAnsi="Tahoma" w:cs="Tahoma"/>
          <w:szCs w:val="22"/>
        </w:rPr>
      </w:pPr>
      <w:r w:rsidRPr="004C1D8B">
        <w:rPr>
          <w:rFonts w:ascii="Tahoma" w:hAnsi="Tahoma" w:cs="Tahoma"/>
          <w:b/>
          <w:szCs w:val="22"/>
        </w:rPr>
        <w:lastRenderedPageBreak/>
        <w:t>Задълженията към персонала</w:t>
      </w:r>
      <w:r w:rsidRPr="004C1D8B">
        <w:rPr>
          <w:rFonts w:ascii="Tahoma" w:hAnsi="Tahoma" w:cs="Tahoma"/>
          <w:szCs w:val="22"/>
        </w:rPr>
        <w:t xml:space="preserve"> през 2011 г. нарастват със </w:t>
      </w:r>
      <w:r w:rsidR="00BB235B" w:rsidRPr="004C1D8B">
        <w:rPr>
          <w:rFonts w:ascii="Tahoma" w:hAnsi="Tahoma" w:cs="Tahoma"/>
          <w:szCs w:val="22"/>
        </w:rPr>
        <w:t>420 млн.лв. (2,2</w:t>
      </w:r>
      <w:r w:rsidRPr="004C1D8B">
        <w:rPr>
          <w:rFonts w:ascii="Tahoma" w:hAnsi="Tahoma" w:cs="Tahoma"/>
          <w:szCs w:val="22"/>
        </w:rPr>
        <w:t>%) и достигат 1,9 млн. лв. Около 9% от тези задължения са с продължителност над 1 година. Увеличението на задълженията към персонала има други косвени негативни ефекти – намаление на потреблението и, оттам - намаление на приходите от косвените данъци, намаление на приходите в бюджета на НОИ и, като следствие, на породения дефицит, нужда от нарастване на субсидията от бюджета и т.н.</w:t>
      </w:r>
    </w:p>
    <w:p w:rsidR="00BB235B" w:rsidRDefault="00BB235B" w:rsidP="00BB235B">
      <w:pPr>
        <w:spacing w:after="120"/>
        <w:jc w:val="center"/>
        <w:rPr>
          <w:rFonts w:ascii="Tahoma" w:hAnsi="Tahoma" w:cs="Tahoma"/>
          <w:szCs w:val="22"/>
        </w:rPr>
      </w:pPr>
      <w:r w:rsidRPr="004C1D8B">
        <w:rPr>
          <w:noProof/>
          <w:sz w:val="28"/>
          <w:lang w:eastAsia="bg-BG"/>
        </w:rPr>
        <w:drawing>
          <wp:inline distT="0" distB="0" distL="0" distR="0" wp14:anchorId="3A97B384" wp14:editId="68CEA9FD">
            <wp:extent cx="4572000" cy="22098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1D8B" w:rsidRPr="004C1D8B" w:rsidRDefault="004C1D8B" w:rsidP="00BB235B">
      <w:pPr>
        <w:spacing w:after="120"/>
        <w:jc w:val="center"/>
        <w:rPr>
          <w:rFonts w:ascii="Tahoma" w:hAnsi="Tahoma" w:cs="Tahoma"/>
          <w:szCs w:val="22"/>
        </w:rPr>
      </w:pPr>
    </w:p>
    <w:p w:rsidR="00FE5AA7" w:rsidRPr="004C1D8B" w:rsidRDefault="00FE5AA7" w:rsidP="00FE5AA7">
      <w:pPr>
        <w:pStyle w:val="Heading2"/>
        <w:shd w:val="clear" w:color="auto" w:fill="C6D9F1"/>
        <w:spacing w:after="120"/>
        <w:ind w:firstLine="426"/>
        <w:rPr>
          <w:rFonts w:ascii="Tahoma" w:hAnsi="Tahoma" w:cs="Tahoma"/>
          <w:caps/>
          <w:sz w:val="24"/>
          <w:szCs w:val="22"/>
        </w:rPr>
      </w:pPr>
      <w:r w:rsidRPr="004C1D8B">
        <w:rPr>
          <w:rFonts w:ascii="Tahoma" w:hAnsi="Tahoma" w:cs="Tahoma"/>
          <w:caps/>
          <w:sz w:val="24"/>
          <w:szCs w:val="22"/>
        </w:rPr>
        <w:t>V</w:t>
      </w:r>
      <w:r w:rsidR="00084AB2" w:rsidRPr="004C1D8B">
        <w:rPr>
          <w:rFonts w:ascii="Tahoma" w:hAnsi="Tahoma" w:cs="Tahoma"/>
          <w:caps/>
          <w:sz w:val="24"/>
          <w:szCs w:val="22"/>
          <w:lang w:val="en-US"/>
        </w:rPr>
        <w:t>I</w:t>
      </w:r>
      <w:r w:rsidRPr="004C1D8B">
        <w:rPr>
          <w:rFonts w:ascii="Tahoma" w:hAnsi="Tahoma" w:cs="Tahoma"/>
          <w:caps/>
          <w:sz w:val="24"/>
          <w:szCs w:val="22"/>
        </w:rPr>
        <w:t>. ДАНЪЧНИ И ОСИГУРИТЕЛНИ задължения</w:t>
      </w:r>
    </w:p>
    <w:p w:rsidR="00BB235B" w:rsidRPr="004C1D8B" w:rsidRDefault="00BB235B" w:rsidP="00BB235B">
      <w:pPr>
        <w:spacing w:after="120"/>
        <w:ind w:firstLine="426"/>
        <w:jc w:val="both"/>
        <w:rPr>
          <w:rFonts w:ascii="Tahoma" w:hAnsi="Tahoma" w:cs="Tahoma"/>
          <w:b/>
          <w:szCs w:val="22"/>
          <w:lang w:val="en-US"/>
        </w:rPr>
      </w:pPr>
      <w:r w:rsidRPr="004C1D8B">
        <w:rPr>
          <w:rFonts w:ascii="Tahoma" w:hAnsi="Tahoma" w:cs="Tahoma"/>
          <w:b/>
          <w:szCs w:val="22"/>
        </w:rPr>
        <w:t xml:space="preserve">Данъчните задължения спрямо 2010 г. </w:t>
      </w:r>
      <w:r w:rsidR="001A186C" w:rsidRPr="004C1D8B">
        <w:rPr>
          <w:rFonts w:ascii="Tahoma" w:hAnsi="Tahoma" w:cs="Tahoma"/>
          <w:b/>
          <w:szCs w:val="22"/>
        </w:rPr>
        <w:t>намаляха с 487 млн. лв. или с -</w:t>
      </w:r>
      <w:r w:rsidR="0077056E" w:rsidRPr="004C1D8B">
        <w:rPr>
          <w:rFonts w:ascii="Tahoma" w:hAnsi="Tahoma" w:cs="Tahoma"/>
          <w:b/>
          <w:szCs w:val="22"/>
        </w:rPr>
        <w:t>12,1</w:t>
      </w:r>
      <w:r w:rsidRPr="004C1D8B">
        <w:rPr>
          <w:rFonts w:ascii="Tahoma" w:hAnsi="Tahoma" w:cs="Tahoma"/>
          <w:b/>
          <w:szCs w:val="22"/>
        </w:rPr>
        <w:t xml:space="preserve">%. </w:t>
      </w:r>
      <w:r w:rsidRPr="004C1D8B">
        <w:rPr>
          <w:rFonts w:ascii="Tahoma" w:hAnsi="Tahoma" w:cs="Tahoma"/>
          <w:szCs w:val="22"/>
        </w:rPr>
        <w:t>Около 90% от тези задължения са с продължителност до 1 година. Това е още едно проявление на икономическата криза – липсата на ликвидност в бизнеса.</w:t>
      </w:r>
      <w:r w:rsidRPr="004C1D8B">
        <w:rPr>
          <w:rFonts w:ascii="Tahoma" w:hAnsi="Tahoma" w:cs="Tahoma"/>
          <w:b/>
          <w:szCs w:val="22"/>
        </w:rPr>
        <w:t xml:space="preserve"> </w:t>
      </w:r>
    </w:p>
    <w:p w:rsidR="00E73D3D" w:rsidRPr="004C1D8B" w:rsidRDefault="00BB235B" w:rsidP="00BB235B">
      <w:pPr>
        <w:spacing w:after="120"/>
        <w:ind w:firstLine="425"/>
        <w:jc w:val="both"/>
        <w:rPr>
          <w:rFonts w:ascii="Tahoma" w:hAnsi="Tahoma" w:cs="Tahoma"/>
          <w:szCs w:val="22"/>
        </w:rPr>
      </w:pPr>
      <w:r w:rsidRPr="004C1D8B">
        <w:rPr>
          <w:rFonts w:ascii="Tahoma" w:hAnsi="Tahoma" w:cs="Tahoma"/>
          <w:b/>
          <w:szCs w:val="22"/>
        </w:rPr>
        <w:t xml:space="preserve">През 2011 г. има и </w:t>
      </w:r>
      <w:r w:rsidR="002515E9" w:rsidRPr="004C1D8B">
        <w:rPr>
          <w:rFonts w:ascii="Tahoma" w:hAnsi="Tahoma" w:cs="Tahoma"/>
          <w:b/>
          <w:szCs w:val="22"/>
        </w:rPr>
        <w:t xml:space="preserve">слабо </w:t>
      </w:r>
      <w:r w:rsidRPr="004C1D8B">
        <w:rPr>
          <w:rFonts w:ascii="Tahoma" w:hAnsi="Tahoma" w:cs="Tahoma"/>
          <w:b/>
          <w:szCs w:val="22"/>
        </w:rPr>
        <w:t>увеличение на осигурителните задължения.</w:t>
      </w:r>
      <w:r w:rsidRPr="004C1D8B">
        <w:rPr>
          <w:rFonts w:ascii="Tahoma" w:hAnsi="Tahoma" w:cs="Tahoma"/>
          <w:szCs w:val="22"/>
        </w:rPr>
        <w:t xml:space="preserve"> Към 31.12.2011 г. предприятията дължат бли</w:t>
      </w:r>
      <w:r w:rsidR="002515E9" w:rsidRPr="004C1D8B">
        <w:rPr>
          <w:rFonts w:ascii="Tahoma" w:hAnsi="Tahoma" w:cs="Tahoma"/>
          <w:szCs w:val="22"/>
        </w:rPr>
        <w:t xml:space="preserve">зо 1.018 млрд. лв., което е с 69 млн. лв. или с </w:t>
      </w:r>
      <w:r w:rsidR="001A186C" w:rsidRPr="004C1D8B">
        <w:rPr>
          <w:rFonts w:ascii="Tahoma" w:hAnsi="Tahoma" w:cs="Tahoma"/>
          <w:szCs w:val="22"/>
        </w:rPr>
        <w:t>7,3</w:t>
      </w:r>
      <w:r w:rsidRPr="004C1D8B">
        <w:rPr>
          <w:rFonts w:ascii="Tahoma" w:hAnsi="Tahoma" w:cs="Tahoma"/>
          <w:szCs w:val="22"/>
        </w:rPr>
        <w:t xml:space="preserve"> % повече в сравнение с края на 2010 г. Около 14 % от тези задължения са с продължителност над 1 година. Ръстът на осигурителните задължения, освен в резултат на кризата, е и в следствие на дискриминационно законово решение за 20% плюс основен лихвен процент санкция при забавяне на плащанията.</w:t>
      </w:r>
      <w:r w:rsidR="00111B61" w:rsidRPr="004C1D8B">
        <w:rPr>
          <w:rFonts w:ascii="Tahoma" w:hAnsi="Tahoma" w:cs="Tahoma"/>
          <w:szCs w:val="22"/>
        </w:rPr>
        <w:t xml:space="preserve"> По настояване на БСК от 2013 г. санкцията за забавени плащания ще е 10% върху основния лихвен процент.</w:t>
      </w:r>
    </w:p>
    <w:p w:rsidR="001A2BE3" w:rsidRDefault="001A2BE3" w:rsidP="001A2BE3">
      <w:pPr>
        <w:spacing w:after="120"/>
        <w:jc w:val="center"/>
        <w:rPr>
          <w:rFonts w:ascii="Tahoma" w:hAnsi="Tahoma" w:cs="Tahoma"/>
          <w:szCs w:val="22"/>
        </w:rPr>
      </w:pPr>
      <w:r w:rsidRPr="004C1D8B">
        <w:rPr>
          <w:noProof/>
          <w:sz w:val="28"/>
          <w:lang w:eastAsia="bg-BG"/>
        </w:rPr>
        <w:drawing>
          <wp:inline distT="0" distB="0" distL="0" distR="0" wp14:anchorId="155AAE0E" wp14:editId="52D4082E">
            <wp:extent cx="5010150" cy="25527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1D8B" w:rsidRPr="004C1D8B" w:rsidRDefault="004C1D8B" w:rsidP="001A2BE3">
      <w:pPr>
        <w:spacing w:after="120"/>
        <w:jc w:val="center"/>
        <w:rPr>
          <w:rFonts w:ascii="Tahoma" w:hAnsi="Tahoma" w:cs="Tahoma"/>
          <w:szCs w:val="22"/>
        </w:rPr>
      </w:pPr>
    </w:p>
    <w:p w:rsidR="004C1D8B" w:rsidRDefault="004C1D8B">
      <w:pPr>
        <w:rPr>
          <w:rFonts w:ascii="Tahoma" w:hAnsi="Tahoma" w:cs="Tahoma"/>
          <w:sz w:val="10"/>
          <w:szCs w:val="22"/>
        </w:rPr>
      </w:pPr>
      <w:r>
        <w:rPr>
          <w:rFonts w:ascii="Tahoma" w:hAnsi="Tahoma" w:cs="Tahoma"/>
          <w:sz w:val="10"/>
          <w:szCs w:val="22"/>
        </w:rPr>
        <w:br w:type="page"/>
      </w:r>
    </w:p>
    <w:p w:rsidR="00AE2041" w:rsidRPr="004C1D8B" w:rsidRDefault="00AE2041" w:rsidP="001A2BE3">
      <w:pPr>
        <w:spacing w:after="120"/>
        <w:jc w:val="center"/>
        <w:rPr>
          <w:rFonts w:ascii="Tahoma" w:hAnsi="Tahoma" w:cs="Tahoma"/>
          <w:sz w:val="10"/>
          <w:szCs w:val="22"/>
        </w:rPr>
      </w:pPr>
    </w:p>
    <w:p w:rsidR="000801B3" w:rsidRPr="004C1D8B" w:rsidRDefault="000801B3" w:rsidP="00902349">
      <w:pPr>
        <w:shd w:val="clear" w:color="auto" w:fill="C6D9F1"/>
        <w:spacing w:after="120"/>
        <w:jc w:val="center"/>
        <w:rPr>
          <w:rFonts w:ascii="Tahoma" w:hAnsi="Tahoma" w:cs="Tahoma"/>
          <w:szCs w:val="22"/>
          <w:u w:val="double"/>
        </w:rPr>
      </w:pPr>
      <w:r w:rsidRPr="004C1D8B">
        <w:rPr>
          <w:rFonts w:ascii="Tahoma" w:hAnsi="Tahoma" w:cs="Tahoma"/>
          <w:b/>
          <w:bCs/>
          <w:szCs w:val="22"/>
          <w:u w:val="double"/>
        </w:rPr>
        <w:t>ИЗВОДИ</w:t>
      </w:r>
      <w:r w:rsidRPr="004C1D8B">
        <w:rPr>
          <w:rFonts w:ascii="Tahoma" w:hAnsi="Tahoma" w:cs="Tahoma"/>
          <w:szCs w:val="22"/>
          <w:u w:val="double"/>
        </w:rPr>
        <w:t>:</w:t>
      </w:r>
    </w:p>
    <w:p w:rsidR="00902BF9" w:rsidRPr="004C1D8B" w:rsidRDefault="00902BF9" w:rsidP="00CB569D">
      <w:pPr>
        <w:numPr>
          <w:ilvl w:val="0"/>
          <w:numId w:val="10"/>
        </w:numPr>
        <w:tabs>
          <w:tab w:val="left" w:pos="709"/>
        </w:tabs>
        <w:spacing w:after="60"/>
        <w:ind w:left="0" w:right="-1" w:firstLine="426"/>
        <w:jc w:val="both"/>
        <w:rPr>
          <w:rFonts w:ascii="Tahoma" w:hAnsi="Tahoma" w:cs="Tahoma"/>
          <w:bCs/>
          <w:szCs w:val="22"/>
        </w:rPr>
      </w:pPr>
      <w:r w:rsidRPr="004C1D8B">
        <w:rPr>
          <w:rFonts w:ascii="Tahoma" w:hAnsi="Tahoma" w:cs="Tahoma"/>
          <w:bCs/>
          <w:szCs w:val="22"/>
        </w:rPr>
        <w:t xml:space="preserve">За разлика от останалите страни в ЕС, </w:t>
      </w:r>
      <w:r w:rsidR="00123CDC" w:rsidRPr="004C1D8B">
        <w:rPr>
          <w:rFonts w:ascii="Tahoma" w:hAnsi="Tahoma" w:cs="Tahoma"/>
          <w:bCs/>
          <w:szCs w:val="22"/>
        </w:rPr>
        <w:t xml:space="preserve">България има малък </w:t>
      </w:r>
      <w:r w:rsidRPr="004C1D8B">
        <w:rPr>
          <w:rFonts w:ascii="Tahoma" w:hAnsi="Tahoma" w:cs="Tahoma"/>
          <w:bCs/>
          <w:szCs w:val="22"/>
        </w:rPr>
        <w:t>държав</w:t>
      </w:r>
      <w:r w:rsidR="00123CDC" w:rsidRPr="004C1D8B">
        <w:rPr>
          <w:rFonts w:ascii="Tahoma" w:hAnsi="Tahoma" w:cs="Tahoma"/>
          <w:bCs/>
          <w:szCs w:val="22"/>
        </w:rPr>
        <w:t>е</w:t>
      </w:r>
      <w:r w:rsidRPr="004C1D8B">
        <w:rPr>
          <w:rFonts w:ascii="Tahoma" w:hAnsi="Tahoma" w:cs="Tahoma"/>
          <w:bCs/>
          <w:szCs w:val="22"/>
        </w:rPr>
        <w:t>н</w:t>
      </w:r>
      <w:r w:rsidR="00123CDC" w:rsidRPr="004C1D8B">
        <w:rPr>
          <w:rFonts w:ascii="Tahoma" w:hAnsi="Tahoma" w:cs="Tahoma"/>
          <w:bCs/>
          <w:szCs w:val="22"/>
        </w:rPr>
        <w:t xml:space="preserve"> </w:t>
      </w:r>
      <w:r w:rsidRPr="004C1D8B">
        <w:rPr>
          <w:rFonts w:ascii="Tahoma" w:hAnsi="Tahoma" w:cs="Tahoma"/>
          <w:bCs/>
          <w:szCs w:val="22"/>
        </w:rPr>
        <w:t>дълг</w:t>
      </w:r>
      <w:r w:rsidR="00AE2041" w:rsidRPr="004C1D8B">
        <w:rPr>
          <w:rFonts w:ascii="Tahoma" w:hAnsi="Tahoma" w:cs="Tahoma"/>
          <w:bCs/>
          <w:szCs w:val="22"/>
        </w:rPr>
        <w:t xml:space="preserve"> (17% от БВП)</w:t>
      </w:r>
      <w:r w:rsidRPr="004C1D8B">
        <w:rPr>
          <w:rFonts w:ascii="Tahoma" w:hAnsi="Tahoma" w:cs="Tahoma"/>
          <w:bCs/>
          <w:szCs w:val="22"/>
        </w:rPr>
        <w:t xml:space="preserve">, </w:t>
      </w:r>
      <w:r w:rsidR="00123CDC" w:rsidRPr="004C1D8B">
        <w:rPr>
          <w:rFonts w:ascii="Tahoma" w:hAnsi="Tahoma" w:cs="Tahoma"/>
          <w:bCs/>
          <w:szCs w:val="22"/>
        </w:rPr>
        <w:t>но</w:t>
      </w:r>
      <w:r w:rsidRPr="004C1D8B">
        <w:rPr>
          <w:rFonts w:ascii="Tahoma" w:hAnsi="Tahoma" w:cs="Tahoma"/>
          <w:bCs/>
          <w:szCs w:val="22"/>
        </w:rPr>
        <w:t xml:space="preserve"> огромен и непрекъснато нарастващ корпоративен дълг</w:t>
      </w:r>
      <w:r w:rsidR="00AE2041" w:rsidRPr="004C1D8B">
        <w:rPr>
          <w:rFonts w:ascii="Tahoma" w:hAnsi="Tahoma" w:cs="Tahoma"/>
          <w:bCs/>
          <w:szCs w:val="22"/>
        </w:rPr>
        <w:t xml:space="preserve"> (227% от БВП), което блокира растежа на икономиката.</w:t>
      </w:r>
      <w:r w:rsidRPr="004C1D8B">
        <w:rPr>
          <w:rFonts w:ascii="Tahoma" w:hAnsi="Tahoma" w:cs="Tahoma"/>
          <w:bCs/>
          <w:szCs w:val="22"/>
        </w:rPr>
        <w:t xml:space="preserve"> Това означава, че </w:t>
      </w:r>
      <w:r w:rsidR="00AE2041" w:rsidRPr="004C1D8B">
        <w:rPr>
          <w:rFonts w:ascii="Tahoma" w:hAnsi="Tahoma" w:cs="Tahoma"/>
          <w:b/>
          <w:bCs/>
          <w:szCs w:val="22"/>
        </w:rPr>
        <w:t>негативите и</w:t>
      </w:r>
      <w:r w:rsidR="00AE2041" w:rsidRPr="004C1D8B">
        <w:rPr>
          <w:rFonts w:ascii="Tahoma" w:hAnsi="Tahoma" w:cs="Tahoma"/>
          <w:bCs/>
          <w:szCs w:val="22"/>
        </w:rPr>
        <w:t xml:space="preserve"> </w:t>
      </w:r>
      <w:r w:rsidRPr="004C1D8B">
        <w:rPr>
          <w:rFonts w:ascii="Tahoma" w:hAnsi="Tahoma" w:cs="Tahoma"/>
          <w:b/>
          <w:bCs/>
          <w:szCs w:val="22"/>
        </w:rPr>
        <w:t>тежестта на икономическата криза е прехвърлена основно върху реалния бизнес</w:t>
      </w:r>
      <w:r w:rsidRPr="004C1D8B">
        <w:rPr>
          <w:rFonts w:ascii="Tahoma" w:hAnsi="Tahoma" w:cs="Tahoma"/>
          <w:bCs/>
          <w:szCs w:val="22"/>
        </w:rPr>
        <w:t>, който е заложник на фискалната стабилност</w:t>
      </w:r>
      <w:r w:rsidR="006D1568" w:rsidRPr="004C1D8B">
        <w:rPr>
          <w:rFonts w:ascii="Tahoma" w:hAnsi="Tahoma" w:cs="Tahoma"/>
          <w:bCs/>
          <w:szCs w:val="22"/>
        </w:rPr>
        <w:t xml:space="preserve"> на макрониво</w:t>
      </w:r>
      <w:r w:rsidRPr="004C1D8B">
        <w:rPr>
          <w:rFonts w:ascii="Tahoma" w:hAnsi="Tahoma" w:cs="Tahoma"/>
          <w:bCs/>
          <w:szCs w:val="22"/>
        </w:rPr>
        <w:t>.</w:t>
      </w:r>
    </w:p>
    <w:p w:rsidR="000801B3" w:rsidRPr="004C1D8B" w:rsidRDefault="000801B3" w:rsidP="00CB569D">
      <w:pPr>
        <w:numPr>
          <w:ilvl w:val="0"/>
          <w:numId w:val="10"/>
        </w:numPr>
        <w:tabs>
          <w:tab w:val="left" w:pos="709"/>
        </w:tabs>
        <w:spacing w:after="60"/>
        <w:ind w:left="0" w:right="-1" w:firstLine="426"/>
        <w:jc w:val="both"/>
        <w:rPr>
          <w:rFonts w:ascii="Tahoma" w:hAnsi="Tahoma" w:cs="Tahoma"/>
          <w:bCs/>
          <w:szCs w:val="22"/>
        </w:rPr>
      </w:pPr>
      <w:r w:rsidRPr="004C1D8B">
        <w:rPr>
          <w:rFonts w:ascii="Tahoma" w:hAnsi="Tahoma" w:cs="Tahoma"/>
          <w:b/>
          <w:bCs/>
          <w:szCs w:val="22"/>
        </w:rPr>
        <w:t>Структурните деформации в икономиката все още не са преодолени и задълженията продължават да растат</w:t>
      </w:r>
      <w:r w:rsidR="00AE2041" w:rsidRPr="004C1D8B">
        <w:rPr>
          <w:rFonts w:ascii="Tahoma" w:hAnsi="Tahoma" w:cs="Tahoma"/>
          <w:b/>
          <w:bCs/>
          <w:szCs w:val="22"/>
        </w:rPr>
        <w:t>.</w:t>
      </w:r>
      <w:r w:rsidR="005A621E" w:rsidRPr="004C1D8B">
        <w:rPr>
          <w:rFonts w:ascii="Tahoma" w:hAnsi="Tahoma" w:cs="Tahoma"/>
          <w:b/>
          <w:bCs/>
          <w:szCs w:val="22"/>
        </w:rPr>
        <w:t xml:space="preserve"> </w:t>
      </w:r>
      <w:r w:rsidRPr="004C1D8B">
        <w:rPr>
          <w:rFonts w:ascii="Tahoma" w:hAnsi="Tahoma" w:cs="Tahoma"/>
          <w:bCs/>
          <w:szCs w:val="22"/>
        </w:rPr>
        <w:t xml:space="preserve">Задълженията надхвърлиха </w:t>
      </w:r>
      <w:r w:rsidR="00134AB0" w:rsidRPr="004C1D8B">
        <w:rPr>
          <w:rFonts w:ascii="Tahoma" w:hAnsi="Tahoma" w:cs="Tahoma"/>
          <w:bCs/>
          <w:szCs w:val="22"/>
        </w:rPr>
        <w:t>163</w:t>
      </w:r>
      <w:r w:rsidRPr="004C1D8B">
        <w:rPr>
          <w:rFonts w:ascii="Tahoma" w:hAnsi="Tahoma" w:cs="Tahoma"/>
          <w:bCs/>
          <w:szCs w:val="22"/>
        </w:rPr>
        <w:t xml:space="preserve"> млрд.лева, което е с </w:t>
      </w:r>
      <w:r w:rsidR="007B4012" w:rsidRPr="004C1D8B">
        <w:rPr>
          <w:rFonts w:ascii="Tahoma" w:hAnsi="Tahoma" w:cs="Tahoma"/>
          <w:bCs/>
          <w:szCs w:val="22"/>
        </w:rPr>
        <w:t>5,2</w:t>
      </w:r>
      <w:r w:rsidRPr="004C1D8B">
        <w:rPr>
          <w:rFonts w:ascii="Tahoma" w:hAnsi="Tahoma" w:cs="Tahoma"/>
          <w:bCs/>
          <w:szCs w:val="22"/>
        </w:rPr>
        <w:t xml:space="preserve"> млрд. лв. (</w:t>
      </w:r>
      <w:r w:rsidR="007B4012" w:rsidRPr="004C1D8B">
        <w:rPr>
          <w:rFonts w:ascii="Tahoma" w:hAnsi="Tahoma" w:cs="Tahoma"/>
          <w:bCs/>
          <w:szCs w:val="22"/>
        </w:rPr>
        <w:t>3,3</w:t>
      </w:r>
      <w:r w:rsidRPr="004C1D8B">
        <w:rPr>
          <w:rFonts w:ascii="Tahoma" w:hAnsi="Tahoma" w:cs="Tahoma"/>
          <w:bCs/>
          <w:szCs w:val="22"/>
        </w:rPr>
        <w:t>%) повече спрямо 20</w:t>
      </w:r>
      <w:r w:rsidR="00956ED0" w:rsidRPr="004C1D8B">
        <w:rPr>
          <w:rFonts w:ascii="Tahoma" w:hAnsi="Tahoma" w:cs="Tahoma"/>
          <w:bCs/>
          <w:szCs w:val="22"/>
        </w:rPr>
        <w:t>1</w:t>
      </w:r>
      <w:r w:rsidRPr="004C1D8B">
        <w:rPr>
          <w:rFonts w:ascii="Tahoma" w:hAnsi="Tahoma" w:cs="Tahoma"/>
          <w:bCs/>
          <w:szCs w:val="22"/>
        </w:rPr>
        <w:t xml:space="preserve">0 г. Свиването на инвестициите с </w:t>
      </w:r>
      <w:r w:rsidR="007B4012" w:rsidRPr="004C1D8B">
        <w:rPr>
          <w:rFonts w:ascii="Tahoma" w:hAnsi="Tahoma" w:cs="Tahoma"/>
          <w:bCs/>
          <w:szCs w:val="22"/>
        </w:rPr>
        <w:t xml:space="preserve">над </w:t>
      </w:r>
      <w:r w:rsidR="00F172E2" w:rsidRPr="004C1D8B">
        <w:rPr>
          <w:rFonts w:ascii="Tahoma" w:hAnsi="Tahoma" w:cs="Tahoma"/>
          <w:bCs/>
          <w:szCs w:val="22"/>
        </w:rPr>
        <w:t>3,4</w:t>
      </w:r>
      <w:r w:rsidR="007B4012" w:rsidRPr="004C1D8B">
        <w:rPr>
          <w:rFonts w:ascii="Tahoma" w:hAnsi="Tahoma" w:cs="Tahoma"/>
          <w:bCs/>
          <w:szCs w:val="22"/>
        </w:rPr>
        <w:t xml:space="preserve"> </w:t>
      </w:r>
      <w:r w:rsidRPr="004C1D8B">
        <w:rPr>
          <w:rFonts w:ascii="Tahoma" w:hAnsi="Tahoma" w:cs="Tahoma"/>
          <w:bCs/>
          <w:szCs w:val="22"/>
        </w:rPr>
        <w:t>млрд.</w:t>
      </w:r>
      <w:r w:rsidR="00C34D4C" w:rsidRPr="004C1D8B">
        <w:rPr>
          <w:rFonts w:ascii="Tahoma" w:hAnsi="Tahoma" w:cs="Tahoma"/>
          <w:bCs/>
          <w:szCs w:val="22"/>
        </w:rPr>
        <w:t xml:space="preserve"> </w:t>
      </w:r>
      <w:r w:rsidRPr="004C1D8B">
        <w:rPr>
          <w:rFonts w:ascii="Tahoma" w:hAnsi="Tahoma" w:cs="Tahoma"/>
          <w:bCs/>
          <w:szCs w:val="22"/>
        </w:rPr>
        <w:t>лв. за периода 20</w:t>
      </w:r>
      <w:r w:rsidR="005A621E" w:rsidRPr="004C1D8B">
        <w:rPr>
          <w:rFonts w:ascii="Tahoma" w:hAnsi="Tahoma" w:cs="Tahoma"/>
          <w:bCs/>
          <w:szCs w:val="22"/>
        </w:rPr>
        <w:t>09</w:t>
      </w:r>
      <w:r w:rsidRPr="004C1D8B">
        <w:rPr>
          <w:rFonts w:ascii="Tahoma" w:hAnsi="Tahoma" w:cs="Tahoma"/>
          <w:bCs/>
          <w:szCs w:val="22"/>
        </w:rPr>
        <w:t>-201</w:t>
      </w:r>
      <w:r w:rsidR="00C34D4C" w:rsidRPr="004C1D8B">
        <w:rPr>
          <w:rFonts w:ascii="Tahoma" w:hAnsi="Tahoma" w:cs="Tahoma"/>
          <w:bCs/>
          <w:szCs w:val="22"/>
        </w:rPr>
        <w:t>1</w:t>
      </w:r>
      <w:r w:rsidRPr="004C1D8B">
        <w:rPr>
          <w:rFonts w:ascii="Tahoma" w:hAnsi="Tahoma" w:cs="Tahoma"/>
          <w:bCs/>
          <w:szCs w:val="22"/>
        </w:rPr>
        <w:t xml:space="preserve"> г. е съществен фактор</w:t>
      </w:r>
      <w:r w:rsidR="005A621E" w:rsidRPr="004C1D8B">
        <w:rPr>
          <w:rFonts w:ascii="Tahoma" w:hAnsi="Tahoma" w:cs="Tahoma"/>
          <w:bCs/>
          <w:szCs w:val="22"/>
        </w:rPr>
        <w:t xml:space="preserve"> и индикатор </w:t>
      </w:r>
      <w:r w:rsidRPr="004C1D8B">
        <w:rPr>
          <w:rFonts w:ascii="Tahoma" w:hAnsi="Tahoma" w:cs="Tahoma"/>
          <w:bCs/>
          <w:szCs w:val="22"/>
        </w:rPr>
        <w:t>за лошото здраве на икономиката.</w:t>
      </w:r>
    </w:p>
    <w:p w:rsidR="000801B3" w:rsidRPr="004C1D8B" w:rsidRDefault="000801B3" w:rsidP="00CB569D">
      <w:pPr>
        <w:numPr>
          <w:ilvl w:val="0"/>
          <w:numId w:val="10"/>
        </w:numPr>
        <w:tabs>
          <w:tab w:val="left" w:pos="709"/>
        </w:tabs>
        <w:spacing w:after="60"/>
        <w:ind w:left="0" w:right="-1" w:firstLine="425"/>
        <w:jc w:val="both"/>
        <w:rPr>
          <w:rFonts w:ascii="Tahoma" w:hAnsi="Tahoma" w:cs="Tahoma"/>
          <w:bCs/>
          <w:szCs w:val="22"/>
        </w:rPr>
      </w:pPr>
      <w:r w:rsidRPr="004C1D8B">
        <w:rPr>
          <w:rFonts w:ascii="Tahoma" w:hAnsi="Tahoma" w:cs="Tahoma"/>
          <w:b/>
          <w:bCs/>
          <w:szCs w:val="22"/>
        </w:rPr>
        <w:t>През 201</w:t>
      </w:r>
      <w:r w:rsidR="00C34D4C" w:rsidRPr="004C1D8B">
        <w:rPr>
          <w:rFonts w:ascii="Tahoma" w:hAnsi="Tahoma" w:cs="Tahoma"/>
          <w:b/>
          <w:bCs/>
          <w:szCs w:val="22"/>
        </w:rPr>
        <w:t>1</w:t>
      </w:r>
      <w:r w:rsidRPr="004C1D8B">
        <w:rPr>
          <w:rFonts w:ascii="Tahoma" w:hAnsi="Tahoma" w:cs="Tahoma"/>
          <w:b/>
          <w:bCs/>
          <w:szCs w:val="22"/>
        </w:rPr>
        <w:t>г.</w:t>
      </w:r>
      <w:r w:rsidR="00C34D4C" w:rsidRPr="004C1D8B">
        <w:rPr>
          <w:rFonts w:ascii="Tahoma" w:hAnsi="Tahoma" w:cs="Tahoma"/>
          <w:b/>
          <w:bCs/>
          <w:szCs w:val="22"/>
        </w:rPr>
        <w:t xml:space="preserve"> </w:t>
      </w:r>
      <w:r w:rsidRPr="004C1D8B">
        <w:rPr>
          <w:rFonts w:ascii="Tahoma" w:hAnsi="Tahoma" w:cs="Tahoma"/>
          <w:b/>
          <w:bCs/>
          <w:szCs w:val="22"/>
        </w:rPr>
        <w:t>отново е</w:t>
      </w:r>
      <w:r w:rsidR="00C34D4C" w:rsidRPr="004C1D8B">
        <w:rPr>
          <w:rFonts w:ascii="Tahoma" w:hAnsi="Tahoma" w:cs="Tahoma"/>
          <w:b/>
          <w:bCs/>
          <w:szCs w:val="22"/>
        </w:rPr>
        <w:t xml:space="preserve"> </w:t>
      </w:r>
      <w:r w:rsidRPr="004C1D8B">
        <w:rPr>
          <w:rFonts w:ascii="Tahoma" w:hAnsi="Tahoma" w:cs="Tahoma"/>
          <w:b/>
          <w:bCs/>
          <w:szCs w:val="22"/>
        </w:rPr>
        <w:t>най-голямо увеличението на междуфирмените задължения,</w:t>
      </w:r>
      <w:r w:rsidRPr="004C1D8B">
        <w:rPr>
          <w:rFonts w:ascii="Tahoma" w:hAnsi="Tahoma" w:cs="Tahoma"/>
          <w:bCs/>
          <w:szCs w:val="22"/>
        </w:rPr>
        <w:t xml:space="preserve"> които достигнаха 10</w:t>
      </w:r>
      <w:r w:rsidR="00C34D4C" w:rsidRPr="004C1D8B">
        <w:rPr>
          <w:rFonts w:ascii="Tahoma" w:hAnsi="Tahoma" w:cs="Tahoma"/>
          <w:bCs/>
          <w:szCs w:val="22"/>
        </w:rPr>
        <w:t>7</w:t>
      </w:r>
      <w:r w:rsidRPr="004C1D8B">
        <w:rPr>
          <w:rFonts w:ascii="Tahoma" w:hAnsi="Tahoma" w:cs="Tahoma"/>
          <w:bCs/>
          <w:szCs w:val="22"/>
        </w:rPr>
        <w:t>.</w:t>
      </w:r>
      <w:r w:rsidR="00C34D4C" w:rsidRPr="004C1D8B">
        <w:rPr>
          <w:rFonts w:ascii="Tahoma" w:hAnsi="Tahoma" w:cs="Tahoma"/>
          <w:bCs/>
          <w:szCs w:val="22"/>
        </w:rPr>
        <w:t>7</w:t>
      </w:r>
      <w:r w:rsidRPr="004C1D8B">
        <w:rPr>
          <w:rFonts w:ascii="Tahoma" w:hAnsi="Tahoma" w:cs="Tahoma"/>
          <w:bCs/>
          <w:szCs w:val="22"/>
        </w:rPr>
        <w:t xml:space="preserve"> млрд.лева и са с </w:t>
      </w:r>
      <w:r w:rsidR="007B4012" w:rsidRPr="004C1D8B">
        <w:rPr>
          <w:rFonts w:ascii="Tahoma" w:hAnsi="Tahoma" w:cs="Tahoma"/>
          <w:bCs/>
          <w:szCs w:val="22"/>
        </w:rPr>
        <w:t>3,306</w:t>
      </w:r>
      <w:r w:rsidR="005A621E" w:rsidRPr="004C1D8B">
        <w:rPr>
          <w:rFonts w:ascii="Tahoma" w:hAnsi="Tahoma" w:cs="Tahoma"/>
          <w:bCs/>
          <w:szCs w:val="22"/>
        </w:rPr>
        <w:t xml:space="preserve"> </w:t>
      </w:r>
      <w:r w:rsidRPr="004C1D8B">
        <w:rPr>
          <w:rFonts w:ascii="Tahoma" w:hAnsi="Tahoma" w:cs="Tahoma"/>
          <w:bCs/>
          <w:szCs w:val="22"/>
        </w:rPr>
        <w:t>млрд.лв. (</w:t>
      </w:r>
      <w:r w:rsidR="007B4012" w:rsidRPr="004C1D8B">
        <w:rPr>
          <w:rFonts w:ascii="Tahoma" w:hAnsi="Tahoma" w:cs="Tahoma"/>
          <w:bCs/>
          <w:szCs w:val="22"/>
        </w:rPr>
        <w:t>3,2</w:t>
      </w:r>
      <w:r w:rsidRPr="004C1D8B">
        <w:rPr>
          <w:rFonts w:ascii="Tahoma" w:hAnsi="Tahoma" w:cs="Tahoma"/>
          <w:bCs/>
          <w:szCs w:val="22"/>
        </w:rPr>
        <w:t>%) повече в сравнение с 20</w:t>
      </w:r>
      <w:r w:rsidR="00C34D4C" w:rsidRPr="004C1D8B">
        <w:rPr>
          <w:rFonts w:ascii="Tahoma" w:hAnsi="Tahoma" w:cs="Tahoma"/>
          <w:bCs/>
          <w:szCs w:val="22"/>
        </w:rPr>
        <w:t>1</w:t>
      </w:r>
      <w:r w:rsidRPr="004C1D8B">
        <w:rPr>
          <w:rFonts w:ascii="Tahoma" w:hAnsi="Tahoma" w:cs="Tahoma"/>
          <w:bCs/>
          <w:szCs w:val="22"/>
        </w:rPr>
        <w:t xml:space="preserve">0 г. На междуфирмената задлъжнялост се пада </w:t>
      </w:r>
      <w:r w:rsidR="005A621E" w:rsidRPr="004C1D8B">
        <w:rPr>
          <w:rFonts w:ascii="Tahoma" w:hAnsi="Tahoma" w:cs="Tahoma"/>
          <w:bCs/>
          <w:szCs w:val="22"/>
        </w:rPr>
        <w:t>две-трети</w:t>
      </w:r>
      <w:r w:rsidRPr="004C1D8B">
        <w:rPr>
          <w:rFonts w:ascii="Tahoma" w:hAnsi="Tahoma" w:cs="Tahoma"/>
          <w:bCs/>
          <w:szCs w:val="22"/>
        </w:rPr>
        <w:t xml:space="preserve"> от прираст</w:t>
      </w:r>
      <w:r w:rsidR="005A621E" w:rsidRPr="004C1D8B">
        <w:rPr>
          <w:rFonts w:ascii="Tahoma" w:hAnsi="Tahoma" w:cs="Tahoma"/>
          <w:bCs/>
          <w:szCs w:val="22"/>
        </w:rPr>
        <w:t>а</w:t>
      </w:r>
      <w:r w:rsidRPr="004C1D8B">
        <w:rPr>
          <w:rFonts w:ascii="Tahoma" w:hAnsi="Tahoma" w:cs="Tahoma"/>
          <w:bCs/>
          <w:szCs w:val="22"/>
        </w:rPr>
        <w:t xml:space="preserve"> на задлъжнялостта на нефинансовите предприятия през 201</w:t>
      </w:r>
      <w:r w:rsidR="00C34D4C" w:rsidRPr="004C1D8B">
        <w:rPr>
          <w:rFonts w:ascii="Tahoma" w:hAnsi="Tahoma" w:cs="Tahoma"/>
          <w:bCs/>
          <w:szCs w:val="22"/>
        </w:rPr>
        <w:t>1</w:t>
      </w:r>
      <w:r w:rsidRPr="004C1D8B">
        <w:rPr>
          <w:rFonts w:ascii="Tahoma" w:hAnsi="Tahoma" w:cs="Tahoma"/>
          <w:bCs/>
          <w:szCs w:val="22"/>
        </w:rPr>
        <w:t xml:space="preserve"> година.</w:t>
      </w:r>
    </w:p>
    <w:p w:rsidR="000801B3" w:rsidRPr="004C1D8B" w:rsidRDefault="000801B3" w:rsidP="00CB569D">
      <w:pPr>
        <w:tabs>
          <w:tab w:val="left" w:pos="709"/>
        </w:tabs>
        <w:spacing w:after="60"/>
        <w:ind w:right="-1" w:firstLine="425"/>
        <w:jc w:val="both"/>
        <w:rPr>
          <w:rFonts w:ascii="Tahoma" w:hAnsi="Tahoma" w:cs="Tahoma"/>
          <w:bCs/>
          <w:szCs w:val="22"/>
        </w:rPr>
      </w:pPr>
      <w:r w:rsidRPr="004C1D8B">
        <w:rPr>
          <w:rFonts w:ascii="Tahoma" w:hAnsi="Tahoma" w:cs="Tahoma"/>
          <w:bCs/>
          <w:szCs w:val="22"/>
        </w:rPr>
        <w:t>Задълженията към предприятията в група и към свързани и асоциирани предприятия спрямо 20</w:t>
      </w:r>
      <w:r w:rsidR="00C34D4C" w:rsidRPr="004C1D8B">
        <w:rPr>
          <w:rFonts w:ascii="Tahoma" w:hAnsi="Tahoma" w:cs="Tahoma"/>
          <w:bCs/>
          <w:szCs w:val="22"/>
        </w:rPr>
        <w:t>1</w:t>
      </w:r>
      <w:r w:rsidRPr="004C1D8B">
        <w:rPr>
          <w:rFonts w:ascii="Tahoma" w:hAnsi="Tahoma" w:cs="Tahoma"/>
          <w:bCs/>
          <w:szCs w:val="22"/>
        </w:rPr>
        <w:t xml:space="preserve">0 г. са повече с </w:t>
      </w:r>
      <w:r w:rsidR="007B4012" w:rsidRPr="004C1D8B">
        <w:rPr>
          <w:rFonts w:ascii="Tahoma" w:hAnsi="Tahoma" w:cs="Tahoma"/>
          <w:bCs/>
          <w:szCs w:val="22"/>
        </w:rPr>
        <w:t>1,426</w:t>
      </w:r>
      <w:r w:rsidRPr="004C1D8B">
        <w:rPr>
          <w:rFonts w:ascii="Tahoma" w:hAnsi="Tahoma" w:cs="Tahoma"/>
          <w:bCs/>
          <w:szCs w:val="22"/>
        </w:rPr>
        <w:t xml:space="preserve"> млрд.лв.(</w:t>
      </w:r>
      <w:r w:rsidR="007B4012" w:rsidRPr="004C1D8B">
        <w:rPr>
          <w:rFonts w:ascii="Tahoma" w:hAnsi="Tahoma" w:cs="Tahoma"/>
          <w:bCs/>
          <w:szCs w:val="22"/>
        </w:rPr>
        <w:t>3,8</w:t>
      </w:r>
      <w:r w:rsidRPr="004C1D8B">
        <w:rPr>
          <w:rFonts w:ascii="Tahoma" w:hAnsi="Tahoma" w:cs="Tahoma"/>
          <w:bCs/>
          <w:szCs w:val="22"/>
        </w:rPr>
        <w:t xml:space="preserve">%), а към доставчици – </w:t>
      </w:r>
      <w:r w:rsidR="000966B3" w:rsidRPr="004C1D8B">
        <w:rPr>
          <w:rFonts w:ascii="Tahoma" w:hAnsi="Tahoma" w:cs="Tahoma"/>
          <w:bCs/>
          <w:szCs w:val="22"/>
        </w:rPr>
        <w:t xml:space="preserve">с </w:t>
      </w:r>
      <w:r w:rsidR="007B4012" w:rsidRPr="004C1D8B">
        <w:rPr>
          <w:rFonts w:ascii="Tahoma" w:hAnsi="Tahoma" w:cs="Tahoma"/>
          <w:bCs/>
          <w:szCs w:val="22"/>
        </w:rPr>
        <w:t>437</w:t>
      </w:r>
      <w:r w:rsidRPr="004C1D8B">
        <w:rPr>
          <w:rFonts w:ascii="Tahoma" w:hAnsi="Tahoma" w:cs="Tahoma"/>
          <w:bCs/>
          <w:szCs w:val="22"/>
        </w:rPr>
        <w:t xml:space="preserve"> мл</w:t>
      </w:r>
      <w:r w:rsidR="007B4012" w:rsidRPr="004C1D8B">
        <w:rPr>
          <w:rFonts w:ascii="Tahoma" w:hAnsi="Tahoma" w:cs="Tahoma"/>
          <w:bCs/>
          <w:szCs w:val="22"/>
        </w:rPr>
        <w:t>н</w:t>
      </w:r>
      <w:r w:rsidRPr="004C1D8B">
        <w:rPr>
          <w:rFonts w:ascii="Tahoma" w:hAnsi="Tahoma" w:cs="Tahoma"/>
          <w:bCs/>
          <w:szCs w:val="22"/>
        </w:rPr>
        <w:t>.лв. (</w:t>
      </w:r>
      <w:r w:rsidR="007B4012" w:rsidRPr="004C1D8B">
        <w:rPr>
          <w:rFonts w:ascii="Tahoma" w:hAnsi="Tahoma" w:cs="Tahoma"/>
          <w:bCs/>
          <w:szCs w:val="22"/>
        </w:rPr>
        <w:t>1,4</w:t>
      </w:r>
      <w:r w:rsidRPr="004C1D8B">
        <w:rPr>
          <w:rFonts w:ascii="Tahoma" w:hAnsi="Tahoma" w:cs="Tahoma"/>
          <w:bCs/>
          <w:szCs w:val="22"/>
        </w:rPr>
        <w:t xml:space="preserve">%). Това показва, че финансовото състояние на по-голямата част от предприятията продължава да се влошава и в условията на свитата им производствена активност, поради кризата, те нямат достатъчно средства да изплащат навреме разходите си за суровини, материали, услуги и др. </w:t>
      </w:r>
    </w:p>
    <w:p w:rsidR="000801B3" w:rsidRPr="004C1D8B" w:rsidRDefault="000801B3" w:rsidP="00CB569D">
      <w:pPr>
        <w:numPr>
          <w:ilvl w:val="0"/>
          <w:numId w:val="10"/>
        </w:numPr>
        <w:tabs>
          <w:tab w:val="left" w:pos="709"/>
        </w:tabs>
        <w:spacing w:after="60"/>
        <w:ind w:left="0" w:right="-1" w:firstLine="425"/>
        <w:jc w:val="both"/>
        <w:rPr>
          <w:rFonts w:ascii="Tahoma" w:hAnsi="Tahoma" w:cs="Tahoma"/>
          <w:bCs/>
          <w:szCs w:val="22"/>
        </w:rPr>
      </w:pPr>
      <w:r w:rsidRPr="004C1D8B">
        <w:rPr>
          <w:rFonts w:ascii="Tahoma" w:hAnsi="Tahoma" w:cs="Tahoma"/>
          <w:b/>
          <w:bCs/>
          <w:szCs w:val="22"/>
        </w:rPr>
        <w:t>Продължиха да се увеличават задълженията на предприятията и към финансовите институции.</w:t>
      </w:r>
      <w:r w:rsidRPr="004C1D8B">
        <w:rPr>
          <w:rFonts w:ascii="Tahoma" w:hAnsi="Tahoma" w:cs="Tahoma"/>
          <w:bCs/>
          <w:szCs w:val="22"/>
        </w:rPr>
        <w:t xml:space="preserve"> Увеличението им</w:t>
      </w:r>
      <w:r w:rsidR="00360B71" w:rsidRPr="004C1D8B">
        <w:rPr>
          <w:rFonts w:ascii="Tahoma" w:hAnsi="Tahoma" w:cs="Tahoma"/>
          <w:bCs/>
          <w:szCs w:val="22"/>
        </w:rPr>
        <w:t xml:space="preserve"> е </w:t>
      </w:r>
      <w:r w:rsidRPr="004C1D8B">
        <w:rPr>
          <w:rFonts w:ascii="Tahoma" w:hAnsi="Tahoma" w:cs="Tahoma"/>
          <w:bCs/>
          <w:szCs w:val="22"/>
        </w:rPr>
        <w:t xml:space="preserve">с </w:t>
      </w:r>
      <w:r w:rsidR="007B4012" w:rsidRPr="004C1D8B">
        <w:rPr>
          <w:rFonts w:ascii="Tahoma" w:hAnsi="Tahoma" w:cs="Tahoma"/>
          <w:bCs/>
          <w:szCs w:val="22"/>
        </w:rPr>
        <w:t>2,262</w:t>
      </w:r>
      <w:r w:rsidRPr="004C1D8B">
        <w:rPr>
          <w:rFonts w:ascii="Tahoma" w:hAnsi="Tahoma" w:cs="Tahoma"/>
          <w:bCs/>
          <w:szCs w:val="22"/>
        </w:rPr>
        <w:t xml:space="preserve"> млрд.</w:t>
      </w:r>
      <w:r w:rsidR="00C34D4C" w:rsidRPr="004C1D8B">
        <w:rPr>
          <w:rFonts w:ascii="Tahoma" w:hAnsi="Tahoma" w:cs="Tahoma"/>
          <w:bCs/>
          <w:szCs w:val="22"/>
        </w:rPr>
        <w:t xml:space="preserve"> </w:t>
      </w:r>
      <w:r w:rsidRPr="004C1D8B">
        <w:rPr>
          <w:rFonts w:ascii="Tahoma" w:hAnsi="Tahoma" w:cs="Tahoma"/>
          <w:bCs/>
          <w:szCs w:val="22"/>
        </w:rPr>
        <w:t>лева (</w:t>
      </w:r>
      <w:r w:rsidR="007B4012" w:rsidRPr="004C1D8B">
        <w:rPr>
          <w:rFonts w:ascii="Tahoma" w:hAnsi="Tahoma" w:cs="Tahoma"/>
          <w:bCs/>
          <w:szCs w:val="22"/>
        </w:rPr>
        <w:t>4,</w:t>
      </w:r>
      <w:r w:rsidR="00C34D4C" w:rsidRPr="004C1D8B">
        <w:rPr>
          <w:rFonts w:ascii="Tahoma" w:hAnsi="Tahoma" w:cs="Tahoma"/>
          <w:bCs/>
          <w:szCs w:val="22"/>
        </w:rPr>
        <w:t>9</w:t>
      </w:r>
      <w:r w:rsidRPr="004C1D8B">
        <w:rPr>
          <w:rFonts w:ascii="Tahoma" w:hAnsi="Tahoma" w:cs="Tahoma"/>
          <w:bCs/>
          <w:szCs w:val="22"/>
        </w:rPr>
        <w:t>%).</w:t>
      </w:r>
      <w:r w:rsidR="00C34D4C" w:rsidRPr="004C1D8B">
        <w:rPr>
          <w:rFonts w:ascii="Tahoma" w:hAnsi="Tahoma" w:cs="Tahoma"/>
          <w:bCs/>
          <w:szCs w:val="22"/>
        </w:rPr>
        <w:t xml:space="preserve"> </w:t>
      </w:r>
      <w:r w:rsidR="008F0173" w:rsidRPr="004C1D8B">
        <w:rPr>
          <w:rFonts w:ascii="Tahoma" w:hAnsi="Tahoma" w:cs="Tahoma"/>
          <w:bCs/>
          <w:szCs w:val="22"/>
        </w:rPr>
        <w:t>Прирастът е само от заеми с краткосрочен характер</w:t>
      </w:r>
      <w:r w:rsidR="00C34D4C" w:rsidRPr="004C1D8B">
        <w:rPr>
          <w:rFonts w:ascii="Tahoma" w:hAnsi="Tahoma" w:cs="Tahoma"/>
          <w:bCs/>
          <w:szCs w:val="22"/>
        </w:rPr>
        <w:t>, свързани с текуща производствена дейност,</w:t>
      </w:r>
      <w:r w:rsidR="008F0173" w:rsidRPr="004C1D8B">
        <w:rPr>
          <w:rFonts w:ascii="Tahoma" w:hAnsi="Tahoma" w:cs="Tahoma"/>
          <w:bCs/>
          <w:szCs w:val="22"/>
        </w:rPr>
        <w:t xml:space="preserve"> които</w:t>
      </w:r>
      <w:r w:rsidR="00C34D4C" w:rsidRPr="004C1D8B">
        <w:rPr>
          <w:rFonts w:ascii="Tahoma" w:hAnsi="Tahoma" w:cs="Tahoma"/>
          <w:bCs/>
          <w:szCs w:val="22"/>
        </w:rPr>
        <w:t xml:space="preserve"> се увеличават с 3,</w:t>
      </w:r>
      <w:r w:rsidR="007B4012" w:rsidRPr="004C1D8B">
        <w:rPr>
          <w:rFonts w:ascii="Tahoma" w:hAnsi="Tahoma" w:cs="Tahoma"/>
          <w:bCs/>
          <w:szCs w:val="22"/>
        </w:rPr>
        <w:t>421</w:t>
      </w:r>
      <w:r w:rsidR="00C34D4C" w:rsidRPr="004C1D8B">
        <w:rPr>
          <w:rFonts w:ascii="Tahoma" w:hAnsi="Tahoma" w:cs="Tahoma"/>
          <w:bCs/>
          <w:szCs w:val="22"/>
        </w:rPr>
        <w:t xml:space="preserve"> млрд. (2</w:t>
      </w:r>
      <w:r w:rsidR="007B4012" w:rsidRPr="004C1D8B">
        <w:rPr>
          <w:rFonts w:ascii="Tahoma" w:hAnsi="Tahoma" w:cs="Tahoma"/>
          <w:bCs/>
          <w:szCs w:val="22"/>
        </w:rPr>
        <w:t>3,</w:t>
      </w:r>
      <w:r w:rsidR="008F0173" w:rsidRPr="004C1D8B">
        <w:rPr>
          <w:rFonts w:ascii="Tahoma" w:hAnsi="Tahoma" w:cs="Tahoma"/>
          <w:bCs/>
          <w:szCs w:val="22"/>
        </w:rPr>
        <w:t>7</w:t>
      </w:r>
      <w:r w:rsidR="00C34D4C" w:rsidRPr="004C1D8B">
        <w:rPr>
          <w:rFonts w:ascii="Tahoma" w:hAnsi="Tahoma" w:cs="Tahoma"/>
          <w:bCs/>
          <w:szCs w:val="22"/>
        </w:rPr>
        <w:t xml:space="preserve">%). </w:t>
      </w:r>
      <w:r w:rsidRPr="004C1D8B">
        <w:rPr>
          <w:rFonts w:ascii="Tahoma" w:hAnsi="Tahoma" w:cs="Tahoma"/>
          <w:bCs/>
          <w:szCs w:val="22"/>
        </w:rPr>
        <w:t>Влошените финансови резултатите на предприятията и обезценяването на обезпеченията доведе до затягането на банковите условия за дългосрочно финансиране,</w:t>
      </w:r>
      <w:r w:rsidR="00C34D4C" w:rsidRPr="004C1D8B">
        <w:rPr>
          <w:rFonts w:ascii="Tahoma" w:hAnsi="Tahoma" w:cs="Tahoma"/>
          <w:bCs/>
          <w:szCs w:val="22"/>
        </w:rPr>
        <w:t xml:space="preserve"> </w:t>
      </w:r>
      <w:r w:rsidR="00EA636F" w:rsidRPr="004C1D8B">
        <w:rPr>
          <w:rFonts w:ascii="Tahoma" w:hAnsi="Tahoma" w:cs="Tahoma"/>
          <w:bCs/>
          <w:szCs w:val="22"/>
        </w:rPr>
        <w:t>а оттам</w:t>
      </w:r>
      <w:r w:rsidRPr="004C1D8B">
        <w:rPr>
          <w:rFonts w:ascii="Tahoma" w:hAnsi="Tahoma" w:cs="Tahoma"/>
          <w:bCs/>
          <w:szCs w:val="22"/>
        </w:rPr>
        <w:t xml:space="preserve"> – до</w:t>
      </w:r>
      <w:r w:rsidR="005A621E" w:rsidRPr="004C1D8B">
        <w:rPr>
          <w:rFonts w:ascii="Tahoma" w:hAnsi="Tahoma" w:cs="Tahoma"/>
          <w:bCs/>
          <w:szCs w:val="22"/>
        </w:rPr>
        <w:t xml:space="preserve"> </w:t>
      </w:r>
      <w:r w:rsidRPr="004C1D8B">
        <w:rPr>
          <w:rFonts w:ascii="Tahoma" w:hAnsi="Tahoma" w:cs="Tahoma"/>
          <w:bCs/>
          <w:szCs w:val="22"/>
        </w:rPr>
        <w:t>спад в инвестициите.</w:t>
      </w:r>
      <w:r w:rsidR="00AE2041" w:rsidRPr="004C1D8B">
        <w:rPr>
          <w:rFonts w:ascii="Tahoma" w:hAnsi="Tahoma" w:cs="Tahoma"/>
          <w:bCs/>
          <w:szCs w:val="22"/>
        </w:rPr>
        <w:t xml:space="preserve"> Незначителното намаление на лихвените проценти в последните месеци е точна индикация за влошена бизнес среда и повишен риск в икономиката.</w:t>
      </w:r>
    </w:p>
    <w:p w:rsidR="000801B3" w:rsidRPr="004C1D8B" w:rsidRDefault="000801B3" w:rsidP="00CB569D">
      <w:pPr>
        <w:numPr>
          <w:ilvl w:val="0"/>
          <w:numId w:val="10"/>
        </w:numPr>
        <w:tabs>
          <w:tab w:val="left" w:pos="709"/>
        </w:tabs>
        <w:spacing w:after="60"/>
        <w:ind w:left="0" w:right="-1" w:firstLine="425"/>
        <w:jc w:val="both"/>
        <w:rPr>
          <w:rFonts w:ascii="Tahoma" w:hAnsi="Tahoma" w:cs="Tahoma"/>
          <w:bCs/>
          <w:szCs w:val="22"/>
        </w:rPr>
      </w:pPr>
      <w:r w:rsidRPr="004C1D8B">
        <w:rPr>
          <w:rFonts w:ascii="Tahoma" w:hAnsi="Tahoma" w:cs="Tahoma"/>
          <w:b/>
          <w:bCs/>
          <w:szCs w:val="22"/>
        </w:rPr>
        <w:t>Продължи увеличение</w:t>
      </w:r>
      <w:r w:rsidR="00F172E2" w:rsidRPr="004C1D8B">
        <w:rPr>
          <w:rFonts w:ascii="Tahoma" w:hAnsi="Tahoma" w:cs="Tahoma"/>
          <w:b/>
          <w:bCs/>
          <w:szCs w:val="22"/>
        </w:rPr>
        <w:t>то</w:t>
      </w:r>
      <w:r w:rsidRPr="004C1D8B">
        <w:rPr>
          <w:rFonts w:ascii="Tahoma" w:hAnsi="Tahoma" w:cs="Tahoma"/>
          <w:b/>
          <w:bCs/>
          <w:szCs w:val="22"/>
        </w:rPr>
        <w:t xml:space="preserve"> на задълженията към персонала от нередовно изплащане на заплати. </w:t>
      </w:r>
      <w:r w:rsidRPr="004C1D8B">
        <w:rPr>
          <w:rFonts w:ascii="Tahoma" w:hAnsi="Tahoma" w:cs="Tahoma"/>
          <w:bCs/>
          <w:szCs w:val="22"/>
        </w:rPr>
        <w:t>В сравнение с 20</w:t>
      </w:r>
      <w:r w:rsidR="00C34D4C" w:rsidRPr="004C1D8B">
        <w:rPr>
          <w:rFonts w:ascii="Tahoma" w:hAnsi="Tahoma" w:cs="Tahoma"/>
          <w:bCs/>
          <w:szCs w:val="22"/>
        </w:rPr>
        <w:t>1</w:t>
      </w:r>
      <w:r w:rsidRPr="004C1D8B">
        <w:rPr>
          <w:rFonts w:ascii="Tahoma" w:hAnsi="Tahoma" w:cs="Tahoma"/>
          <w:bCs/>
          <w:szCs w:val="22"/>
        </w:rPr>
        <w:t xml:space="preserve">0 г. те са повече с </w:t>
      </w:r>
      <w:r w:rsidR="007B4012" w:rsidRPr="004C1D8B">
        <w:rPr>
          <w:rFonts w:ascii="Tahoma" w:hAnsi="Tahoma" w:cs="Tahoma"/>
          <w:bCs/>
          <w:szCs w:val="22"/>
        </w:rPr>
        <w:t>42</w:t>
      </w:r>
      <w:r w:rsidRPr="004C1D8B">
        <w:rPr>
          <w:rFonts w:ascii="Tahoma" w:hAnsi="Tahoma" w:cs="Tahoma"/>
          <w:bCs/>
          <w:szCs w:val="22"/>
        </w:rPr>
        <w:t xml:space="preserve"> млн.лв.(</w:t>
      </w:r>
      <w:r w:rsidR="007B4012" w:rsidRPr="004C1D8B">
        <w:rPr>
          <w:rFonts w:ascii="Tahoma" w:hAnsi="Tahoma" w:cs="Tahoma"/>
          <w:bCs/>
          <w:szCs w:val="22"/>
        </w:rPr>
        <w:t>2,2</w:t>
      </w:r>
      <w:r w:rsidRPr="004C1D8B">
        <w:rPr>
          <w:rFonts w:ascii="Tahoma" w:hAnsi="Tahoma" w:cs="Tahoma"/>
          <w:bCs/>
          <w:szCs w:val="22"/>
        </w:rPr>
        <w:t xml:space="preserve">%), а за осигуровките – с </w:t>
      </w:r>
      <w:r w:rsidR="007B4012" w:rsidRPr="004C1D8B">
        <w:rPr>
          <w:rFonts w:ascii="Tahoma" w:hAnsi="Tahoma" w:cs="Tahoma"/>
          <w:bCs/>
          <w:szCs w:val="22"/>
        </w:rPr>
        <w:t>69</w:t>
      </w:r>
      <w:r w:rsidRPr="004C1D8B">
        <w:rPr>
          <w:rFonts w:ascii="Tahoma" w:hAnsi="Tahoma" w:cs="Tahoma"/>
          <w:bCs/>
          <w:szCs w:val="22"/>
        </w:rPr>
        <w:t xml:space="preserve"> млн.лв. (</w:t>
      </w:r>
      <w:r w:rsidR="007B4012" w:rsidRPr="004C1D8B">
        <w:rPr>
          <w:rFonts w:ascii="Tahoma" w:hAnsi="Tahoma" w:cs="Tahoma"/>
          <w:bCs/>
          <w:szCs w:val="22"/>
        </w:rPr>
        <w:t>7,3</w:t>
      </w:r>
      <w:r w:rsidRPr="004C1D8B">
        <w:rPr>
          <w:rFonts w:ascii="Tahoma" w:hAnsi="Tahoma" w:cs="Tahoma"/>
          <w:bCs/>
          <w:szCs w:val="22"/>
        </w:rPr>
        <w:t>%).</w:t>
      </w:r>
    </w:p>
    <w:p w:rsidR="000801B3" w:rsidRPr="004C1D8B" w:rsidRDefault="007B4012" w:rsidP="00CB569D">
      <w:pPr>
        <w:numPr>
          <w:ilvl w:val="0"/>
          <w:numId w:val="10"/>
        </w:numPr>
        <w:tabs>
          <w:tab w:val="left" w:pos="709"/>
        </w:tabs>
        <w:spacing w:after="60"/>
        <w:ind w:left="0" w:right="-1" w:firstLine="425"/>
        <w:jc w:val="both"/>
        <w:rPr>
          <w:rFonts w:ascii="Tahoma" w:hAnsi="Tahoma" w:cs="Tahoma"/>
          <w:bCs/>
          <w:szCs w:val="22"/>
        </w:rPr>
      </w:pPr>
      <w:r w:rsidRPr="004C1D8B">
        <w:rPr>
          <w:rFonts w:ascii="Tahoma" w:hAnsi="Tahoma" w:cs="Tahoma"/>
          <w:b/>
          <w:bCs/>
          <w:szCs w:val="22"/>
        </w:rPr>
        <w:t>Намаление</w:t>
      </w:r>
      <w:r w:rsidR="000801B3" w:rsidRPr="004C1D8B">
        <w:rPr>
          <w:rFonts w:ascii="Tahoma" w:hAnsi="Tahoma" w:cs="Tahoma"/>
          <w:b/>
          <w:bCs/>
          <w:szCs w:val="22"/>
        </w:rPr>
        <w:t xml:space="preserve"> на данъчните задължения. В края на 201</w:t>
      </w:r>
      <w:r w:rsidR="00C34D4C" w:rsidRPr="004C1D8B">
        <w:rPr>
          <w:rFonts w:ascii="Tahoma" w:hAnsi="Tahoma" w:cs="Tahoma"/>
          <w:b/>
          <w:bCs/>
          <w:szCs w:val="22"/>
        </w:rPr>
        <w:t>1</w:t>
      </w:r>
      <w:r w:rsidR="000801B3" w:rsidRPr="004C1D8B">
        <w:rPr>
          <w:rFonts w:ascii="Tahoma" w:hAnsi="Tahoma" w:cs="Tahoma"/>
          <w:b/>
          <w:bCs/>
          <w:szCs w:val="22"/>
        </w:rPr>
        <w:t xml:space="preserve"> г.те са </w:t>
      </w:r>
      <w:r w:rsidRPr="004C1D8B">
        <w:rPr>
          <w:rFonts w:ascii="Tahoma" w:hAnsi="Tahoma" w:cs="Tahoma"/>
          <w:b/>
          <w:bCs/>
          <w:szCs w:val="22"/>
        </w:rPr>
        <w:t>3,5</w:t>
      </w:r>
      <w:r w:rsidR="000801B3" w:rsidRPr="004C1D8B">
        <w:rPr>
          <w:rFonts w:ascii="Tahoma" w:hAnsi="Tahoma" w:cs="Tahoma"/>
          <w:b/>
          <w:bCs/>
          <w:szCs w:val="22"/>
        </w:rPr>
        <w:t xml:space="preserve"> млрд.лева.</w:t>
      </w:r>
      <w:r w:rsidR="000801B3" w:rsidRPr="004C1D8B">
        <w:rPr>
          <w:rFonts w:ascii="Tahoma" w:hAnsi="Tahoma" w:cs="Tahoma"/>
          <w:bCs/>
          <w:szCs w:val="22"/>
        </w:rPr>
        <w:t xml:space="preserve"> В сравнение с края на 20</w:t>
      </w:r>
      <w:r w:rsidR="00495E6F" w:rsidRPr="004C1D8B">
        <w:rPr>
          <w:rFonts w:ascii="Tahoma" w:hAnsi="Tahoma" w:cs="Tahoma"/>
          <w:bCs/>
          <w:szCs w:val="22"/>
        </w:rPr>
        <w:t>1</w:t>
      </w:r>
      <w:r w:rsidR="000801B3" w:rsidRPr="004C1D8B">
        <w:rPr>
          <w:rFonts w:ascii="Tahoma" w:hAnsi="Tahoma" w:cs="Tahoma"/>
          <w:bCs/>
          <w:szCs w:val="22"/>
        </w:rPr>
        <w:t xml:space="preserve">0 г. </w:t>
      </w:r>
      <w:r w:rsidRPr="004C1D8B">
        <w:rPr>
          <w:rFonts w:ascii="Tahoma" w:hAnsi="Tahoma" w:cs="Tahoma"/>
          <w:bCs/>
          <w:szCs w:val="22"/>
        </w:rPr>
        <w:t>намалението</w:t>
      </w:r>
      <w:r w:rsidR="000801B3" w:rsidRPr="004C1D8B">
        <w:rPr>
          <w:rFonts w:ascii="Tahoma" w:hAnsi="Tahoma" w:cs="Tahoma"/>
          <w:bCs/>
          <w:szCs w:val="22"/>
        </w:rPr>
        <w:t xml:space="preserve"> е с </w:t>
      </w:r>
      <w:r w:rsidRPr="004C1D8B">
        <w:rPr>
          <w:rFonts w:ascii="Tahoma" w:hAnsi="Tahoma" w:cs="Tahoma"/>
          <w:bCs/>
          <w:szCs w:val="22"/>
        </w:rPr>
        <w:t>487</w:t>
      </w:r>
      <w:r w:rsidR="000801B3" w:rsidRPr="004C1D8B">
        <w:rPr>
          <w:rFonts w:ascii="Tahoma" w:hAnsi="Tahoma" w:cs="Tahoma"/>
          <w:bCs/>
          <w:szCs w:val="22"/>
        </w:rPr>
        <w:t xml:space="preserve"> млн.лева (</w:t>
      </w:r>
      <w:r w:rsidRPr="004C1D8B">
        <w:rPr>
          <w:rFonts w:ascii="Tahoma" w:hAnsi="Tahoma" w:cs="Tahoma"/>
          <w:bCs/>
          <w:szCs w:val="22"/>
        </w:rPr>
        <w:t>-12,1</w:t>
      </w:r>
      <w:r w:rsidR="000801B3" w:rsidRPr="004C1D8B">
        <w:rPr>
          <w:rFonts w:ascii="Tahoma" w:hAnsi="Tahoma" w:cs="Tahoma"/>
          <w:bCs/>
          <w:szCs w:val="22"/>
        </w:rPr>
        <w:t>%).</w:t>
      </w:r>
    </w:p>
    <w:p w:rsidR="000801B3" w:rsidRPr="004C1D8B" w:rsidRDefault="000801B3" w:rsidP="00CB569D">
      <w:pPr>
        <w:numPr>
          <w:ilvl w:val="0"/>
          <w:numId w:val="10"/>
        </w:numPr>
        <w:tabs>
          <w:tab w:val="left" w:pos="709"/>
        </w:tabs>
        <w:spacing w:after="60"/>
        <w:ind w:left="0" w:right="-1" w:firstLine="425"/>
        <w:jc w:val="both"/>
        <w:rPr>
          <w:rFonts w:ascii="Tahoma" w:hAnsi="Tahoma" w:cs="Tahoma"/>
          <w:bCs/>
          <w:szCs w:val="22"/>
        </w:rPr>
      </w:pPr>
      <w:r w:rsidRPr="004C1D8B">
        <w:rPr>
          <w:rFonts w:ascii="Tahoma" w:hAnsi="Tahoma" w:cs="Tahoma"/>
          <w:b/>
          <w:bCs/>
          <w:szCs w:val="22"/>
        </w:rPr>
        <w:t>Държавата и общините и през 201</w:t>
      </w:r>
      <w:r w:rsidR="00495E6F" w:rsidRPr="004C1D8B">
        <w:rPr>
          <w:rFonts w:ascii="Tahoma" w:hAnsi="Tahoma" w:cs="Tahoma"/>
          <w:b/>
          <w:bCs/>
          <w:szCs w:val="22"/>
        </w:rPr>
        <w:t>1</w:t>
      </w:r>
      <w:r w:rsidRPr="004C1D8B">
        <w:rPr>
          <w:rFonts w:ascii="Tahoma" w:hAnsi="Tahoma" w:cs="Tahoma"/>
          <w:b/>
          <w:bCs/>
          <w:szCs w:val="22"/>
        </w:rPr>
        <w:t xml:space="preserve"> г. продължиха да генерират междуфирмени задължения, но в по-малка степен в сравнение с 20</w:t>
      </w:r>
      <w:r w:rsidR="00495E6F" w:rsidRPr="004C1D8B">
        <w:rPr>
          <w:rFonts w:ascii="Tahoma" w:hAnsi="Tahoma" w:cs="Tahoma"/>
          <w:b/>
          <w:bCs/>
          <w:szCs w:val="22"/>
        </w:rPr>
        <w:t>1</w:t>
      </w:r>
      <w:r w:rsidRPr="004C1D8B">
        <w:rPr>
          <w:rFonts w:ascii="Tahoma" w:hAnsi="Tahoma" w:cs="Tahoma"/>
          <w:b/>
          <w:bCs/>
          <w:szCs w:val="22"/>
        </w:rPr>
        <w:t>0 г.</w:t>
      </w:r>
      <w:r w:rsidR="00495E6F" w:rsidRPr="004C1D8B">
        <w:rPr>
          <w:rFonts w:ascii="Tahoma" w:hAnsi="Tahoma" w:cs="Tahoma"/>
          <w:b/>
          <w:bCs/>
          <w:szCs w:val="22"/>
        </w:rPr>
        <w:t xml:space="preserve"> </w:t>
      </w:r>
      <w:r w:rsidRPr="004C1D8B">
        <w:rPr>
          <w:rFonts w:ascii="Tahoma" w:hAnsi="Tahoma" w:cs="Tahoma"/>
          <w:bCs/>
          <w:szCs w:val="22"/>
        </w:rPr>
        <w:t>Балансите на нефинансовите предприятия към 31.12.201</w:t>
      </w:r>
      <w:r w:rsidR="00495E6F" w:rsidRPr="004C1D8B">
        <w:rPr>
          <w:rFonts w:ascii="Tahoma" w:hAnsi="Tahoma" w:cs="Tahoma"/>
          <w:bCs/>
          <w:szCs w:val="22"/>
        </w:rPr>
        <w:t>1</w:t>
      </w:r>
      <w:r w:rsidRPr="004C1D8B">
        <w:rPr>
          <w:rFonts w:ascii="Tahoma" w:hAnsi="Tahoma" w:cs="Tahoma"/>
          <w:bCs/>
          <w:szCs w:val="22"/>
        </w:rPr>
        <w:t xml:space="preserve"> г. показват, че от ведомства, държавни и общински предприятия имат вземания за изпълнени,нонеразплатени поръчки, на стойност </w:t>
      </w:r>
      <w:r w:rsidR="00704D25" w:rsidRPr="004C1D8B">
        <w:rPr>
          <w:rFonts w:ascii="Tahoma" w:hAnsi="Tahoma" w:cs="Tahoma"/>
          <w:bCs/>
          <w:szCs w:val="22"/>
        </w:rPr>
        <w:t>440</w:t>
      </w:r>
      <w:r w:rsidR="008F0173" w:rsidRPr="004C1D8B">
        <w:rPr>
          <w:rFonts w:ascii="Tahoma" w:hAnsi="Tahoma" w:cs="Tahoma"/>
          <w:bCs/>
          <w:szCs w:val="22"/>
        </w:rPr>
        <w:t xml:space="preserve"> </w:t>
      </w:r>
      <w:r w:rsidR="00704D25" w:rsidRPr="004C1D8B">
        <w:rPr>
          <w:rFonts w:ascii="Tahoma" w:hAnsi="Tahoma" w:cs="Tahoma"/>
          <w:bCs/>
          <w:szCs w:val="22"/>
        </w:rPr>
        <w:t>млн</w:t>
      </w:r>
      <w:r w:rsidR="008F0173" w:rsidRPr="004C1D8B">
        <w:rPr>
          <w:rFonts w:ascii="Tahoma" w:hAnsi="Tahoma" w:cs="Tahoma"/>
          <w:bCs/>
          <w:szCs w:val="22"/>
        </w:rPr>
        <w:t>.</w:t>
      </w:r>
      <w:r w:rsidRPr="004C1D8B">
        <w:rPr>
          <w:rFonts w:ascii="Tahoma" w:hAnsi="Tahoma" w:cs="Tahoma"/>
          <w:bCs/>
          <w:szCs w:val="22"/>
        </w:rPr>
        <w:t xml:space="preserve"> лв. Данъците за възстановяване са </w:t>
      </w:r>
      <w:r w:rsidR="008F0173" w:rsidRPr="004C1D8B">
        <w:rPr>
          <w:rFonts w:ascii="Tahoma" w:hAnsi="Tahoma" w:cs="Tahoma"/>
          <w:bCs/>
          <w:szCs w:val="22"/>
        </w:rPr>
        <w:t>1,8</w:t>
      </w:r>
      <w:r w:rsidRPr="004C1D8B">
        <w:rPr>
          <w:rFonts w:ascii="Tahoma" w:hAnsi="Tahoma" w:cs="Tahoma"/>
          <w:bCs/>
          <w:szCs w:val="22"/>
        </w:rPr>
        <w:t xml:space="preserve"> млрд.лв. Тази сума съставлява </w:t>
      </w:r>
      <w:r w:rsidR="005A621E" w:rsidRPr="004C1D8B">
        <w:rPr>
          <w:rFonts w:ascii="Tahoma" w:hAnsi="Tahoma" w:cs="Tahoma"/>
          <w:bCs/>
          <w:szCs w:val="22"/>
        </w:rPr>
        <w:t xml:space="preserve">2% </w:t>
      </w:r>
      <w:r w:rsidRPr="004C1D8B">
        <w:rPr>
          <w:rFonts w:ascii="Tahoma" w:hAnsi="Tahoma" w:cs="Tahoma"/>
          <w:bCs/>
          <w:szCs w:val="22"/>
        </w:rPr>
        <w:t>от междуфирмената задлъжнялост на нефинансовите предприятия към края на 201</w:t>
      </w:r>
      <w:r w:rsidR="00495E6F" w:rsidRPr="004C1D8B">
        <w:rPr>
          <w:rFonts w:ascii="Tahoma" w:hAnsi="Tahoma" w:cs="Tahoma"/>
          <w:bCs/>
          <w:szCs w:val="22"/>
        </w:rPr>
        <w:t xml:space="preserve">1 </w:t>
      </w:r>
      <w:r w:rsidRPr="004C1D8B">
        <w:rPr>
          <w:rFonts w:ascii="Tahoma" w:hAnsi="Tahoma" w:cs="Tahoma"/>
          <w:bCs/>
          <w:szCs w:val="22"/>
        </w:rPr>
        <w:t>г.</w:t>
      </w:r>
    </w:p>
    <w:p w:rsidR="000801B3" w:rsidRPr="004C1D8B" w:rsidRDefault="000801B3" w:rsidP="00CB569D">
      <w:pPr>
        <w:tabs>
          <w:tab w:val="left" w:pos="1134"/>
        </w:tabs>
        <w:spacing w:after="60"/>
        <w:ind w:firstLine="425"/>
        <w:jc w:val="both"/>
        <w:rPr>
          <w:rFonts w:ascii="Tahoma" w:hAnsi="Tahoma" w:cs="Tahoma"/>
          <w:bCs/>
          <w:szCs w:val="22"/>
        </w:rPr>
      </w:pPr>
      <w:r w:rsidRPr="004C1D8B">
        <w:rPr>
          <w:rFonts w:ascii="Tahoma" w:hAnsi="Tahoma" w:cs="Tahoma"/>
          <w:bCs/>
          <w:szCs w:val="22"/>
        </w:rPr>
        <w:t>В края на 201</w:t>
      </w:r>
      <w:r w:rsidR="00495E6F" w:rsidRPr="004C1D8B">
        <w:rPr>
          <w:rFonts w:ascii="Tahoma" w:hAnsi="Tahoma" w:cs="Tahoma"/>
          <w:bCs/>
          <w:szCs w:val="22"/>
        </w:rPr>
        <w:t>1</w:t>
      </w:r>
      <w:r w:rsidRPr="004C1D8B">
        <w:rPr>
          <w:rFonts w:ascii="Tahoma" w:hAnsi="Tahoma" w:cs="Tahoma"/>
          <w:bCs/>
          <w:szCs w:val="22"/>
        </w:rPr>
        <w:t xml:space="preserve"> г. просрочените задължения на държавата са в размер на </w:t>
      </w:r>
      <w:r w:rsidR="005A621E" w:rsidRPr="004C1D8B">
        <w:rPr>
          <w:rFonts w:ascii="Tahoma" w:hAnsi="Tahoma" w:cs="Tahoma"/>
          <w:bCs/>
          <w:szCs w:val="22"/>
        </w:rPr>
        <w:t>37</w:t>
      </w:r>
      <w:r w:rsidR="00F172E2" w:rsidRPr="004C1D8B">
        <w:rPr>
          <w:rFonts w:ascii="Tahoma" w:hAnsi="Tahoma" w:cs="Tahoma"/>
          <w:bCs/>
          <w:szCs w:val="22"/>
        </w:rPr>
        <w:t>7</w:t>
      </w:r>
      <w:r w:rsidRPr="004C1D8B">
        <w:rPr>
          <w:rFonts w:ascii="Tahoma" w:hAnsi="Tahoma" w:cs="Tahoma"/>
          <w:bCs/>
          <w:szCs w:val="22"/>
        </w:rPr>
        <w:t xml:space="preserve"> млн.лв., от които </w:t>
      </w:r>
      <w:r w:rsidR="005A621E" w:rsidRPr="004C1D8B">
        <w:rPr>
          <w:rFonts w:ascii="Tahoma" w:hAnsi="Tahoma" w:cs="Tahoma"/>
          <w:bCs/>
          <w:szCs w:val="22"/>
        </w:rPr>
        <w:t>1</w:t>
      </w:r>
      <w:r w:rsidR="00F172E2" w:rsidRPr="004C1D8B">
        <w:rPr>
          <w:rFonts w:ascii="Tahoma" w:hAnsi="Tahoma" w:cs="Tahoma"/>
          <w:bCs/>
          <w:szCs w:val="22"/>
        </w:rPr>
        <w:t>70</w:t>
      </w:r>
      <w:r w:rsidRPr="004C1D8B">
        <w:rPr>
          <w:rFonts w:ascii="Tahoma" w:hAnsi="Tahoma" w:cs="Tahoma"/>
          <w:bCs/>
          <w:szCs w:val="22"/>
        </w:rPr>
        <w:t xml:space="preserve"> млн.лв. на държавния бюджет и </w:t>
      </w:r>
      <w:r w:rsidR="005A621E" w:rsidRPr="004C1D8B">
        <w:rPr>
          <w:rFonts w:ascii="Tahoma" w:hAnsi="Tahoma" w:cs="Tahoma"/>
          <w:bCs/>
          <w:szCs w:val="22"/>
        </w:rPr>
        <w:t>207</w:t>
      </w:r>
      <w:r w:rsidRPr="004C1D8B">
        <w:rPr>
          <w:rFonts w:ascii="Tahoma" w:hAnsi="Tahoma" w:cs="Tahoma"/>
          <w:bCs/>
          <w:szCs w:val="22"/>
        </w:rPr>
        <w:t xml:space="preserve"> млн.лв. на общините.</w:t>
      </w:r>
      <w:r w:rsidR="00F172E2" w:rsidRPr="004C1D8B">
        <w:rPr>
          <w:rFonts w:ascii="Tahoma" w:hAnsi="Tahoma" w:cs="Tahoma"/>
          <w:bCs/>
          <w:szCs w:val="22"/>
        </w:rPr>
        <w:t xml:space="preserve"> Към 30.09.2012 г. задълженията на държавата са в размер намаляват до 287 млн.лв., от които </w:t>
      </w:r>
      <w:r w:rsidR="008C37CF">
        <w:rPr>
          <w:rFonts w:ascii="Tahoma" w:hAnsi="Tahoma" w:cs="Tahoma"/>
          <w:bCs/>
          <w:szCs w:val="22"/>
          <w:lang w:val="en-US"/>
        </w:rPr>
        <w:t>1</w:t>
      </w:r>
      <w:bookmarkStart w:id="0" w:name="_GoBack"/>
      <w:bookmarkEnd w:id="0"/>
      <w:r w:rsidR="00F172E2" w:rsidRPr="004C1D8B">
        <w:rPr>
          <w:rFonts w:ascii="Tahoma" w:hAnsi="Tahoma" w:cs="Tahoma"/>
          <w:bCs/>
          <w:szCs w:val="22"/>
        </w:rPr>
        <w:t>11 млн.лв. от държавния бюджет и 176 млн.лв. от общините.</w:t>
      </w:r>
    </w:p>
    <w:p w:rsidR="000801B3" w:rsidRPr="004C1D8B" w:rsidRDefault="000801B3" w:rsidP="00CB569D">
      <w:pPr>
        <w:tabs>
          <w:tab w:val="left" w:pos="1134"/>
        </w:tabs>
        <w:spacing w:after="60"/>
        <w:ind w:right="-1" w:firstLine="425"/>
        <w:jc w:val="both"/>
        <w:rPr>
          <w:rFonts w:ascii="Tahoma" w:hAnsi="Tahoma" w:cs="Tahoma"/>
          <w:bCs/>
          <w:szCs w:val="22"/>
        </w:rPr>
      </w:pPr>
      <w:r w:rsidRPr="004C1D8B">
        <w:rPr>
          <w:rFonts w:ascii="Tahoma" w:hAnsi="Tahoma" w:cs="Tahoma"/>
          <w:bCs/>
          <w:szCs w:val="22"/>
        </w:rPr>
        <w:t>Независимо от преодоляването на тенденция</w:t>
      </w:r>
      <w:r w:rsidR="00F172E2" w:rsidRPr="004C1D8B">
        <w:rPr>
          <w:rFonts w:ascii="Tahoma" w:hAnsi="Tahoma" w:cs="Tahoma"/>
          <w:bCs/>
          <w:szCs w:val="22"/>
        </w:rPr>
        <w:t>та</w:t>
      </w:r>
      <w:r w:rsidRPr="004C1D8B">
        <w:rPr>
          <w:rFonts w:ascii="Tahoma" w:hAnsi="Tahoma" w:cs="Tahoma"/>
          <w:bCs/>
          <w:szCs w:val="22"/>
        </w:rPr>
        <w:t xml:space="preserve"> на ръст на задълженията на държавата и общините към бизнеса с различни инструменти, вкл. с определен дисконт, размерът на тези задължения е много висок, особено в сравнение с периода 2005-2008 г. Забелязва се и структурна промяна с нарастване дела на задълженията на общините, което е част от намалението на ликвидността в държавните институции.</w:t>
      </w:r>
    </w:p>
    <w:p w:rsidR="000966B3" w:rsidRPr="004C1D8B" w:rsidRDefault="000966B3" w:rsidP="00CB569D">
      <w:pPr>
        <w:tabs>
          <w:tab w:val="left" w:pos="1134"/>
        </w:tabs>
        <w:spacing w:after="60"/>
        <w:ind w:right="-1" w:firstLine="425"/>
        <w:jc w:val="both"/>
        <w:rPr>
          <w:rFonts w:ascii="Tahoma" w:hAnsi="Tahoma" w:cs="Tahoma"/>
          <w:bCs/>
          <w:sz w:val="18"/>
          <w:szCs w:val="22"/>
        </w:rPr>
      </w:pPr>
    </w:p>
    <w:p w:rsidR="000801B3" w:rsidRPr="004C1D8B" w:rsidRDefault="000801B3" w:rsidP="00CB569D">
      <w:pPr>
        <w:shd w:val="clear" w:color="auto" w:fill="C6D9F1" w:themeFill="text2" w:themeFillTint="33"/>
        <w:tabs>
          <w:tab w:val="left" w:pos="1134"/>
        </w:tabs>
        <w:spacing w:after="60"/>
        <w:ind w:right="-1"/>
        <w:jc w:val="center"/>
        <w:rPr>
          <w:rFonts w:ascii="Tahoma" w:hAnsi="Tahoma" w:cs="Tahoma"/>
          <w:b/>
          <w:bCs/>
          <w:szCs w:val="22"/>
        </w:rPr>
      </w:pPr>
      <w:r w:rsidRPr="004C1D8B">
        <w:rPr>
          <w:rFonts w:ascii="Tahoma" w:hAnsi="Tahoma" w:cs="Tahoma"/>
          <w:b/>
          <w:bCs/>
          <w:szCs w:val="22"/>
        </w:rPr>
        <w:t>За 201</w:t>
      </w:r>
      <w:r w:rsidR="00495E6F" w:rsidRPr="004C1D8B">
        <w:rPr>
          <w:rFonts w:ascii="Tahoma" w:hAnsi="Tahoma" w:cs="Tahoma"/>
          <w:b/>
          <w:bCs/>
          <w:szCs w:val="22"/>
        </w:rPr>
        <w:t>2</w:t>
      </w:r>
      <w:r w:rsidRPr="004C1D8B">
        <w:rPr>
          <w:rFonts w:ascii="Tahoma" w:hAnsi="Tahoma" w:cs="Tahoma"/>
          <w:b/>
          <w:bCs/>
          <w:szCs w:val="22"/>
        </w:rPr>
        <w:t xml:space="preserve"> г. и 201</w:t>
      </w:r>
      <w:r w:rsidR="00495E6F" w:rsidRPr="004C1D8B">
        <w:rPr>
          <w:rFonts w:ascii="Tahoma" w:hAnsi="Tahoma" w:cs="Tahoma"/>
          <w:b/>
          <w:bCs/>
          <w:szCs w:val="22"/>
        </w:rPr>
        <w:t>3</w:t>
      </w:r>
      <w:r w:rsidRPr="004C1D8B">
        <w:rPr>
          <w:rFonts w:ascii="Tahoma" w:hAnsi="Tahoma" w:cs="Tahoma"/>
          <w:b/>
          <w:bCs/>
          <w:szCs w:val="22"/>
        </w:rPr>
        <w:t xml:space="preserve"> г. могат да бъдат направени следните </w:t>
      </w:r>
      <w:r w:rsidRPr="004C1D8B">
        <w:rPr>
          <w:rFonts w:ascii="Tahoma" w:hAnsi="Tahoma" w:cs="Tahoma"/>
          <w:b/>
          <w:bCs/>
          <w:szCs w:val="22"/>
          <w:u w:val="single"/>
        </w:rPr>
        <w:t>ПРОГНОЗИ</w:t>
      </w:r>
      <w:r w:rsidRPr="004C1D8B">
        <w:rPr>
          <w:rFonts w:ascii="Tahoma" w:hAnsi="Tahoma" w:cs="Tahoma"/>
          <w:b/>
          <w:bCs/>
          <w:szCs w:val="22"/>
        </w:rPr>
        <w:t>:</w:t>
      </w:r>
    </w:p>
    <w:p w:rsidR="00E40F84" w:rsidRPr="004C1D8B" w:rsidRDefault="00E40F84" w:rsidP="00CB569D">
      <w:pPr>
        <w:numPr>
          <w:ilvl w:val="0"/>
          <w:numId w:val="17"/>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 xml:space="preserve">Задлъжнялостта запазва високи нива и </w:t>
      </w:r>
      <w:r w:rsidRPr="004C1D8B">
        <w:rPr>
          <w:rFonts w:ascii="Tahoma" w:hAnsi="Tahoma" w:cs="Tahoma"/>
          <w:b/>
          <w:bCs/>
          <w:szCs w:val="22"/>
        </w:rPr>
        <w:t>през 2012 г.,</w:t>
      </w:r>
      <w:r w:rsidRPr="004C1D8B">
        <w:rPr>
          <w:rFonts w:ascii="Tahoma" w:hAnsi="Tahoma" w:cs="Tahoma"/>
          <w:bCs/>
          <w:szCs w:val="22"/>
        </w:rPr>
        <w:t xml:space="preserve"> според данните от традиционната </w:t>
      </w:r>
      <w:r w:rsidRPr="004C1D8B">
        <w:rPr>
          <w:rFonts w:ascii="Tahoma" w:hAnsi="Tahoma" w:cs="Tahoma"/>
          <w:b/>
          <w:bCs/>
          <w:szCs w:val="22"/>
        </w:rPr>
        <w:t>годишна анкета</w:t>
      </w:r>
      <w:r w:rsidRPr="004C1D8B">
        <w:rPr>
          <w:rStyle w:val="FootnoteReference"/>
          <w:rFonts w:ascii="Tahoma" w:hAnsi="Tahoma"/>
          <w:b/>
          <w:bCs/>
          <w:szCs w:val="22"/>
        </w:rPr>
        <w:footnoteReference w:id="3"/>
      </w:r>
      <w:r w:rsidRPr="004C1D8B">
        <w:rPr>
          <w:rFonts w:ascii="Tahoma" w:hAnsi="Tahoma" w:cs="Tahoma"/>
          <w:b/>
          <w:bCs/>
          <w:szCs w:val="22"/>
        </w:rPr>
        <w:t xml:space="preserve"> на БСК</w:t>
      </w:r>
      <w:r w:rsidRPr="004C1D8B">
        <w:rPr>
          <w:rFonts w:ascii="Tahoma" w:hAnsi="Tahoma" w:cs="Tahoma"/>
          <w:bCs/>
          <w:szCs w:val="22"/>
        </w:rPr>
        <w:t xml:space="preserve"> сред членовете на камарата „</w:t>
      </w:r>
      <w:hyperlink r:id="rId24" w:history="1">
        <w:r w:rsidRPr="004C1D8B">
          <w:rPr>
            <w:rStyle w:val="Hyperlink"/>
            <w:rFonts w:ascii="Tahoma" w:hAnsi="Tahoma" w:cs="Tahoma"/>
            <w:bCs/>
            <w:i/>
            <w:szCs w:val="22"/>
          </w:rPr>
          <w:t>2012 г. през погледа на бизнеса</w:t>
        </w:r>
      </w:hyperlink>
      <w:r w:rsidRPr="004C1D8B">
        <w:rPr>
          <w:rFonts w:ascii="Tahoma" w:hAnsi="Tahoma" w:cs="Tahoma"/>
          <w:bCs/>
          <w:szCs w:val="22"/>
        </w:rPr>
        <w:t xml:space="preserve">“. 79% от анкетираните декларират, че имат просрочени несъбрани вземания от контрагенти, половината от които са други частни търговски дружества. 19% от просрочените дългове са от фирми с преобладаваща държавна и общинска собственост. Другите големи длъжници на бизнеса са общинските администрации (16% от случаите) и централната държавна администрация (също 16%). В една-трета от случаите (32%) просрочието е за повече от 1 година, 28% - за период от 2-3 месеца, 26% </w:t>
      </w:r>
      <w:r w:rsidR="00B81BA7" w:rsidRPr="004C1D8B">
        <w:rPr>
          <w:rFonts w:ascii="Tahoma" w:hAnsi="Tahoma" w:cs="Tahoma"/>
          <w:bCs/>
          <w:szCs w:val="22"/>
        </w:rPr>
        <w:t>-</w:t>
      </w:r>
      <w:r w:rsidRPr="004C1D8B">
        <w:rPr>
          <w:rFonts w:ascii="Tahoma" w:hAnsi="Tahoma" w:cs="Tahoma"/>
          <w:bCs/>
          <w:szCs w:val="22"/>
        </w:rPr>
        <w:t xml:space="preserve"> за период 6</w:t>
      </w:r>
      <w:r w:rsidR="00B81BA7" w:rsidRPr="004C1D8B">
        <w:rPr>
          <w:rFonts w:ascii="Tahoma" w:hAnsi="Tahoma" w:cs="Tahoma"/>
          <w:bCs/>
          <w:szCs w:val="22"/>
        </w:rPr>
        <w:t>-</w:t>
      </w:r>
      <w:r w:rsidRPr="004C1D8B">
        <w:rPr>
          <w:rFonts w:ascii="Tahoma" w:hAnsi="Tahoma" w:cs="Tahoma"/>
          <w:bCs/>
          <w:szCs w:val="22"/>
        </w:rPr>
        <w:t>12 месеца, 14% - до 1 месец.</w:t>
      </w:r>
    </w:p>
    <w:p w:rsidR="000801B3" w:rsidRPr="004C1D8B" w:rsidRDefault="000801B3" w:rsidP="00CB569D">
      <w:pPr>
        <w:numPr>
          <w:ilvl w:val="0"/>
          <w:numId w:val="17"/>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Очертаващата се стагнация в развитието на икономиката, намаляващите продажби на вътрешния пазар и затрудненият достъп до финансиране няма да създават условия за намаляване задлъжнялостта на предприятията.</w:t>
      </w:r>
    </w:p>
    <w:p w:rsidR="000801B3" w:rsidRPr="004C1D8B" w:rsidRDefault="000801B3" w:rsidP="00CB569D">
      <w:pPr>
        <w:numPr>
          <w:ilvl w:val="0"/>
          <w:numId w:val="17"/>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Влияние върху финансовото им състояние ще оказва и постепенното намаление на износа като фактор за икономически растеж на страната.</w:t>
      </w:r>
    </w:p>
    <w:p w:rsidR="00C05ECA" w:rsidRPr="004C1D8B" w:rsidRDefault="000801B3" w:rsidP="00CB569D">
      <w:pPr>
        <w:numPr>
          <w:ilvl w:val="0"/>
          <w:numId w:val="17"/>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Нарастването на броя на фалитите, както и на случаите с фактическа неплатежоспособност, бавните процедури по несъстоятелност,</w:t>
      </w:r>
      <w:r w:rsidR="00495E6F" w:rsidRPr="004C1D8B">
        <w:rPr>
          <w:rFonts w:ascii="Tahoma" w:hAnsi="Tahoma" w:cs="Tahoma"/>
          <w:bCs/>
          <w:szCs w:val="22"/>
        </w:rPr>
        <w:t xml:space="preserve"> </w:t>
      </w:r>
      <w:r w:rsidRPr="004C1D8B">
        <w:rPr>
          <w:rFonts w:ascii="Tahoma" w:hAnsi="Tahoma" w:cs="Tahoma"/>
          <w:bCs/>
          <w:szCs w:val="22"/>
        </w:rPr>
        <w:t>влошаващото се обслужване на кредитите, ще водят</w:t>
      </w:r>
      <w:r w:rsidR="00E40F84" w:rsidRPr="004C1D8B">
        <w:rPr>
          <w:rFonts w:ascii="Tahoma" w:hAnsi="Tahoma" w:cs="Tahoma"/>
          <w:bCs/>
          <w:szCs w:val="22"/>
        </w:rPr>
        <w:t xml:space="preserve"> </w:t>
      </w:r>
      <w:r w:rsidRPr="004C1D8B">
        <w:rPr>
          <w:rFonts w:ascii="Tahoma" w:hAnsi="Tahoma" w:cs="Tahoma"/>
          <w:bCs/>
          <w:szCs w:val="22"/>
        </w:rPr>
        <w:t xml:space="preserve">до нарастване на задлъжнялостта. </w:t>
      </w:r>
    </w:p>
    <w:p w:rsidR="00487A50" w:rsidRPr="004C1D8B" w:rsidRDefault="00487A50" w:rsidP="00CB569D">
      <w:pPr>
        <w:tabs>
          <w:tab w:val="left" w:pos="1134"/>
          <w:tab w:val="left" w:pos="9922"/>
        </w:tabs>
        <w:spacing w:after="60"/>
        <w:ind w:right="-1"/>
        <w:jc w:val="both"/>
        <w:rPr>
          <w:rFonts w:ascii="Tahoma" w:hAnsi="Tahoma" w:cs="Tahoma"/>
          <w:bCs/>
          <w:sz w:val="44"/>
          <w:szCs w:val="22"/>
          <w:lang w:val="en-US"/>
        </w:rPr>
      </w:pPr>
    </w:p>
    <w:p w:rsidR="00487A50" w:rsidRPr="004C1D8B" w:rsidRDefault="00487A50" w:rsidP="00CB569D">
      <w:pPr>
        <w:shd w:val="clear" w:color="auto" w:fill="C6D9F1" w:themeFill="text2" w:themeFillTint="33"/>
        <w:tabs>
          <w:tab w:val="left" w:pos="1134"/>
          <w:tab w:val="left" w:pos="9922"/>
        </w:tabs>
        <w:spacing w:after="60"/>
        <w:ind w:right="-1"/>
        <w:jc w:val="center"/>
        <w:rPr>
          <w:rFonts w:ascii="Tahoma" w:hAnsi="Tahoma" w:cs="Tahoma"/>
          <w:b/>
          <w:bCs/>
          <w:szCs w:val="22"/>
        </w:rPr>
      </w:pPr>
      <w:r w:rsidRPr="004C1D8B">
        <w:rPr>
          <w:rFonts w:ascii="Tahoma" w:hAnsi="Tahoma" w:cs="Tahoma"/>
          <w:b/>
          <w:bCs/>
          <w:szCs w:val="22"/>
          <w:u w:val="single"/>
        </w:rPr>
        <w:t>ПРЕДЛОЖЕНИЯ</w:t>
      </w:r>
      <w:r w:rsidRPr="004C1D8B">
        <w:rPr>
          <w:rFonts w:ascii="Tahoma" w:hAnsi="Tahoma" w:cs="Tahoma"/>
          <w:b/>
          <w:bCs/>
          <w:szCs w:val="22"/>
        </w:rPr>
        <w:t xml:space="preserve"> за преодоляване на проблема със задлъжнялостта:</w:t>
      </w:r>
    </w:p>
    <w:p w:rsidR="00B81BA7" w:rsidRPr="004C1D8B" w:rsidRDefault="00B81BA7"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
          <w:bCs/>
          <w:szCs w:val="22"/>
        </w:rPr>
        <w:t>Промени в законодателството</w:t>
      </w:r>
      <w:r w:rsidRPr="004C1D8B">
        <w:rPr>
          <w:rFonts w:ascii="Tahoma" w:hAnsi="Tahoma" w:cs="Tahoma"/>
          <w:bCs/>
          <w:szCs w:val="22"/>
        </w:rPr>
        <w:t xml:space="preserve"> в посока:</w:t>
      </w:r>
    </w:p>
    <w:p w:rsidR="00B81BA7" w:rsidRPr="004C1D8B" w:rsidRDefault="00CB569D"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Ус</w:t>
      </w:r>
      <w:r w:rsidR="00B81BA7" w:rsidRPr="004C1D8B">
        <w:rPr>
          <w:rFonts w:ascii="Tahoma" w:hAnsi="Tahoma" w:cs="Tahoma"/>
          <w:bCs/>
          <w:szCs w:val="22"/>
        </w:rPr>
        <w:t>коряване на процедурите по несъстоятелност;</w:t>
      </w:r>
    </w:p>
    <w:p w:rsidR="00B81BA7" w:rsidRPr="004C1D8B" w:rsidRDefault="00CB569D"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Ликвиди</w:t>
      </w:r>
      <w:r w:rsidR="00B81BA7" w:rsidRPr="004C1D8B">
        <w:rPr>
          <w:rFonts w:ascii="Tahoma" w:hAnsi="Tahoma" w:cs="Tahoma"/>
          <w:bCs/>
          <w:szCs w:val="22"/>
        </w:rPr>
        <w:t>ране на възможността за обявяване в несъстоятелност със задна дата;</w:t>
      </w:r>
    </w:p>
    <w:p w:rsidR="00B81BA7" w:rsidRPr="004C1D8B" w:rsidRDefault="00CB569D"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 xml:space="preserve">Забрана </w:t>
      </w:r>
      <w:r w:rsidR="00B81BA7" w:rsidRPr="004C1D8B">
        <w:rPr>
          <w:rFonts w:ascii="Tahoma" w:hAnsi="Tahoma" w:cs="Tahoma"/>
          <w:bCs/>
          <w:szCs w:val="22"/>
        </w:rPr>
        <w:t>за обявяване на обществе</w:t>
      </w:r>
      <w:r w:rsidRPr="004C1D8B">
        <w:rPr>
          <w:rFonts w:ascii="Tahoma" w:hAnsi="Tahoma" w:cs="Tahoma"/>
          <w:bCs/>
          <w:szCs w:val="22"/>
        </w:rPr>
        <w:t>ни поръчки със забавено плащане;</w:t>
      </w:r>
    </w:p>
    <w:p w:rsidR="00CB569D" w:rsidRPr="004C1D8B" w:rsidRDefault="00CB569D"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Коректно транспониране на Директива 2000/35/ЕО относно борбата със забавяне на плащане по търговски сделки.</w:t>
      </w:r>
    </w:p>
    <w:p w:rsidR="00B81BA7" w:rsidRPr="004C1D8B" w:rsidRDefault="00B81BA7"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Приватизация на дейността по връчване на призовки.</w:t>
      </w:r>
    </w:p>
    <w:p w:rsidR="00B81BA7" w:rsidRPr="004C1D8B" w:rsidRDefault="00B81BA7"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
          <w:bCs/>
          <w:szCs w:val="22"/>
        </w:rPr>
        <w:t>Цялостно преструктуриране на тарифите</w:t>
      </w:r>
      <w:r w:rsidRPr="004C1D8B">
        <w:rPr>
          <w:rFonts w:ascii="Tahoma" w:hAnsi="Tahoma" w:cs="Tahoma"/>
          <w:bCs/>
          <w:szCs w:val="22"/>
        </w:rPr>
        <w:t xml:space="preserve"> за правораздаване, нотариални услуги и за дейността на съдия-изпълнителите.</w:t>
      </w:r>
    </w:p>
    <w:p w:rsidR="00487A50" w:rsidRPr="004C1D8B" w:rsidRDefault="00487A50"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
          <w:bCs/>
          <w:szCs w:val="22"/>
        </w:rPr>
        <w:t>Изграждане на клирингова къща</w:t>
      </w:r>
      <w:r w:rsidRPr="004C1D8B">
        <w:rPr>
          <w:rFonts w:ascii="Tahoma" w:hAnsi="Tahoma" w:cs="Tahoma"/>
          <w:bCs/>
          <w:szCs w:val="22"/>
        </w:rPr>
        <w:t xml:space="preserve"> за изчистване на междуфирмени задължения</w:t>
      </w:r>
      <w:r w:rsidR="00CB569D" w:rsidRPr="004C1D8B">
        <w:rPr>
          <w:rFonts w:ascii="Tahoma" w:hAnsi="Tahoma" w:cs="Tahoma"/>
          <w:bCs/>
          <w:szCs w:val="22"/>
        </w:rPr>
        <w:t xml:space="preserve"> (вкл. с възможности за факторинг) с капитал, предоставен: 1. От Държавния бюджет; 2. От </w:t>
      </w:r>
      <w:r w:rsidR="00991542">
        <w:rPr>
          <w:rFonts w:ascii="Tahoma" w:hAnsi="Tahoma" w:cs="Tahoma"/>
          <w:bCs/>
          <w:szCs w:val="22"/>
        </w:rPr>
        <w:t>б</w:t>
      </w:r>
      <w:r w:rsidR="00CB569D" w:rsidRPr="004C1D8B">
        <w:rPr>
          <w:rFonts w:ascii="Tahoma" w:hAnsi="Tahoma" w:cs="Tahoma"/>
          <w:bCs/>
          <w:szCs w:val="22"/>
        </w:rPr>
        <w:t>анките; или 3. На основата на публично-частно партньорство.</w:t>
      </w:r>
    </w:p>
    <w:p w:rsidR="00487A50" w:rsidRPr="004C1D8B" w:rsidRDefault="0010701B"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Изграждане на публичен регистър за дължимите ДДС и акцизи и в</w:t>
      </w:r>
      <w:r w:rsidR="00487A50" w:rsidRPr="004C1D8B">
        <w:rPr>
          <w:rFonts w:ascii="Tahoma" w:hAnsi="Tahoma" w:cs="Tahoma"/>
          <w:bCs/>
          <w:szCs w:val="22"/>
        </w:rPr>
        <w:t xml:space="preserve">ъвеждане на </w:t>
      </w:r>
      <w:r w:rsidR="00487A50" w:rsidRPr="004C1D8B">
        <w:rPr>
          <w:rFonts w:ascii="Tahoma" w:hAnsi="Tahoma" w:cs="Tahoma"/>
          <w:b/>
          <w:bCs/>
          <w:szCs w:val="22"/>
        </w:rPr>
        <w:t xml:space="preserve">„Златна книга на данъкоплатците“ </w:t>
      </w:r>
      <w:r w:rsidR="00487A50" w:rsidRPr="004C1D8B">
        <w:rPr>
          <w:rFonts w:ascii="Tahoma" w:hAnsi="Tahoma" w:cs="Tahoma"/>
          <w:bCs/>
          <w:szCs w:val="22"/>
        </w:rPr>
        <w:t>с възможност за възстановяване на ДДС и акцизи в рамките на 7 дни.</w:t>
      </w:r>
    </w:p>
    <w:p w:rsidR="00B81BA7" w:rsidRPr="004C1D8B" w:rsidRDefault="00B81BA7"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Преглед на изпълнението на антикризисната програма в частта „</w:t>
      </w:r>
      <w:r w:rsidRPr="004C1D8B">
        <w:rPr>
          <w:rFonts w:ascii="Tahoma" w:hAnsi="Tahoma" w:cs="Tahoma"/>
          <w:b/>
          <w:bCs/>
          <w:szCs w:val="22"/>
        </w:rPr>
        <w:t>данъчна ваканция</w:t>
      </w:r>
      <w:r w:rsidRPr="004C1D8B">
        <w:rPr>
          <w:rFonts w:ascii="Tahoma" w:hAnsi="Tahoma" w:cs="Tahoma"/>
          <w:bCs/>
          <w:szCs w:val="22"/>
        </w:rPr>
        <w:t>“.</w:t>
      </w:r>
    </w:p>
    <w:p w:rsidR="00B81BA7" w:rsidRPr="004C1D8B" w:rsidRDefault="00B81BA7" w:rsidP="00CB569D">
      <w:pPr>
        <w:pStyle w:val="ListParagraph"/>
        <w:numPr>
          <w:ilvl w:val="0"/>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 xml:space="preserve">Въвеждане на задължително публикуване в </w:t>
      </w:r>
      <w:r w:rsidRPr="004C1D8B">
        <w:rPr>
          <w:rFonts w:ascii="Tahoma" w:hAnsi="Tahoma" w:cs="Tahoma"/>
          <w:b/>
          <w:bCs/>
          <w:szCs w:val="22"/>
        </w:rPr>
        <w:t xml:space="preserve">единен публичен </w:t>
      </w:r>
      <w:r w:rsidR="00FD4CCB" w:rsidRPr="004C1D8B">
        <w:rPr>
          <w:rFonts w:ascii="Tahoma" w:hAnsi="Tahoma" w:cs="Tahoma"/>
          <w:b/>
          <w:bCs/>
          <w:szCs w:val="22"/>
        </w:rPr>
        <w:t>онлайн-регистър</w:t>
      </w:r>
      <w:r w:rsidRPr="004C1D8B">
        <w:rPr>
          <w:rFonts w:ascii="Tahoma" w:hAnsi="Tahoma" w:cs="Tahoma"/>
          <w:bCs/>
          <w:szCs w:val="22"/>
        </w:rPr>
        <w:t xml:space="preserve"> на:</w:t>
      </w:r>
    </w:p>
    <w:p w:rsidR="00B81BA7" w:rsidRPr="004C1D8B" w:rsidRDefault="00B81BA7"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Всички такси, тарифи и лихвени условия на банковата система;</w:t>
      </w:r>
    </w:p>
    <w:p w:rsidR="00B81BA7" w:rsidRDefault="00B81BA7" w:rsidP="00CB569D">
      <w:pPr>
        <w:pStyle w:val="ListParagraph"/>
        <w:numPr>
          <w:ilvl w:val="1"/>
          <w:numId w:val="21"/>
        </w:numPr>
        <w:tabs>
          <w:tab w:val="left" w:pos="1134"/>
          <w:tab w:val="left" w:pos="9922"/>
        </w:tabs>
        <w:spacing w:after="60"/>
        <w:ind w:right="-1"/>
        <w:jc w:val="both"/>
        <w:rPr>
          <w:rFonts w:ascii="Tahoma" w:hAnsi="Tahoma" w:cs="Tahoma"/>
          <w:bCs/>
          <w:szCs w:val="22"/>
        </w:rPr>
      </w:pPr>
      <w:r w:rsidRPr="004C1D8B">
        <w:rPr>
          <w:rFonts w:ascii="Tahoma" w:hAnsi="Tahoma" w:cs="Tahoma"/>
          <w:bCs/>
          <w:szCs w:val="22"/>
        </w:rPr>
        <w:t>Всички тарифи и условия по застрахователни операции.</w:t>
      </w:r>
    </w:p>
    <w:p w:rsidR="00C845B7" w:rsidRPr="004C1D8B" w:rsidRDefault="00C845B7" w:rsidP="00C845B7">
      <w:pPr>
        <w:pStyle w:val="ListParagraph"/>
        <w:numPr>
          <w:ilvl w:val="0"/>
          <w:numId w:val="21"/>
        </w:numPr>
        <w:tabs>
          <w:tab w:val="left" w:pos="1134"/>
          <w:tab w:val="left" w:pos="9922"/>
        </w:tabs>
        <w:spacing w:after="60"/>
        <w:ind w:right="-1"/>
        <w:jc w:val="both"/>
        <w:rPr>
          <w:rFonts w:ascii="Tahoma" w:hAnsi="Tahoma" w:cs="Tahoma"/>
          <w:bCs/>
          <w:szCs w:val="22"/>
        </w:rPr>
      </w:pPr>
      <w:r w:rsidRPr="00C845B7">
        <w:rPr>
          <w:rFonts w:ascii="Tahoma" w:hAnsi="Tahoma" w:cs="Tahoma"/>
          <w:bCs/>
          <w:szCs w:val="22"/>
        </w:rPr>
        <w:t xml:space="preserve">Сключване на </w:t>
      </w:r>
      <w:r w:rsidRPr="00C845B7">
        <w:rPr>
          <w:rFonts w:ascii="Tahoma" w:hAnsi="Tahoma" w:cs="Tahoma"/>
          <w:b/>
          <w:bCs/>
          <w:szCs w:val="22"/>
        </w:rPr>
        <w:t>арбитражни клаузи в търговските договори</w:t>
      </w:r>
      <w:r w:rsidRPr="00C845B7">
        <w:rPr>
          <w:rFonts w:ascii="Tahoma" w:hAnsi="Tahoma" w:cs="Tahoma"/>
          <w:bCs/>
          <w:szCs w:val="22"/>
        </w:rPr>
        <w:t>, с финансови застрахователни и публични институции, вкл. по обществени поръчки, с цел бързо решаване на търговски спорове.</w:t>
      </w:r>
    </w:p>
    <w:sectPr w:rsidR="00C845B7" w:rsidRPr="004C1D8B" w:rsidSect="00AE2041">
      <w:footerReference w:type="even" r:id="rId25"/>
      <w:footerReference w:type="default" r:id="rId26"/>
      <w:pgSz w:w="11906" w:h="16838" w:code="9"/>
      <w:pgMar w:top="709" w:right="991" w:bottom="568" w:left="993" w:header="567" w:footer="31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98" w:rsidRDefault="00B63698">
      <w:r>
        <w:separator/>
      </w:r>
    </w:p>
  </w:endnote>
  <w:endnote w:type="continuationSeparator" w:id="0">
    <w:p w:rsidR="00B63698" w:rsidRDefault="00B6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3" w:rsidRDefault="000801B3" w:rsidP="00313762">
    <w:pPr>
      <w:pStyle w:val="Footer"/>
      <w:framePr w:wrap="around" w:vAnchor="text" w:hAnchor="margin" w:xAlign="right" w:y="1"/>
      <w:rPr>
        <w:rStyle w:val="PageNumber"/>
      </w:rPr>
    </w:pPr>
    <w:r>
      <w:rPr>
        <w:rStyle w:val="PageNumber"/>
        <w:lang w:val="bg-BG"/>
      </w:rPr>
      <w:tab/>
    </w:r>
    <w:r>
      <w:rPr>
        <w:rStyle w:val="PageNumber"/>
        <w:lang w:val="bg-BG"/>
      </w:rPr>
      <w:tab/>
    </w:r>
    <w:r>
      <w:rPr>
        <w:rStyle w:val="PageNumber"/>
        <w:lang w:val="bg-BG"/>
      </w:rPr>
      <w:tab/>
    </w:r>
    <w:r>
      <w:rPr>
        <w:rStyle w:val="PageNumber"/>
        <w:lang w:val="bg-BG"/>
      </w:rPr>
      <w:tab/>
    </w:r>
    <w:r w:rsidR="00C46C79">
      <w:rPr>
        <w:rStyle w:val="PageNumber"/>
      </w:rPr>
      <w:fldChar w:fldCharType="begin"/>
    </w:r>
    <w:r>
      <w:rPr>
        <w:rStyle w:val="PageNumber"/>
      </w:rPr>
      <w:instrText xml:space="preserve">PAGE  </w:instrText>
    </w:r>
    <w:r w:rsidR="00C46C79">
      <w:rPr>
        <w:rStyle w:val="PageNumber"/>
      </w:rPr>
      <w:fldChar w:fldCharType="separate"/>
    </w:r>
    <w:r>
      <w:rPr>
        <w:rStyle w:val="PageNumber"/>
        <w:noProof/>
      </w:rPr>
      <w:t>16</w:t>
    </w:r>
    <w:r w:rsidR="00C46C79">
      <w:rPr>
        <w:rStyle w:val="PageNumber"/>
      </w:rPr>
      <w:fldChar w:fldCharType="end"/>
    </w:r>
  </w:p>
  <w:p w:rsidR="000801B3" w:rsidRPr="00E62ACB" w:rsidRDefault="000801B3" w:rsidP="00C5051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B3" w:rsidRDefault="00C46C79" w:rsidP="006C5D8F">
    <w:pPr>
      <w:pStyle w:val="Footer"/>
      <w:framePr w:h="481" w:hRule="exact" w:wrap="around" w:vAnchor="text" w:hAnchor="margin" w:xAlign="right" w:y="-54"/>
      <w:rPr>
        <w:rStyle w:val="PageNumber"/>
      </w:rPr>
    </w:pPr>
    <w:r>
      <w:rPr>
        <w:rStyle w:val="PageNumber"/>
      </w:rPr>
      <w:fldChar w:fldCharType="begin"/>
    </w:r>
    <w:r w:rsidR="000801B3">
      <w:rPr>
        <w:rStyle w:val="PageNumber"/>
      </w:rPr>
      <w:instrText xml:space="preserve">PAGE  </w:instrText>
    </w:r>
    <w:r>
      <w:rPr>
        <w:rStyle w:val="PageNumber"/>
      </w:rPr>
      <w:fldChar w:fldCharType="separate"/>
    </w:r>
    <w:r w:rsidR="008C37CF">
      <w:rPr>
        <w:rStyle w:val="PageNumber"/>
        <w:noProof/>
      </w:rPr>
      <w:t>9</w:t>
    </w:r>
    <w:r>
      <w:rPr>
        <w:rStyle w:val="PageNumber"/>
      </w:rPr>
      <w:fldChar w:fldCharType="end"/>
    </w:r>
  </w:p>
  <w:p w:rsidR="000801B3" w:rsidRPr="00313762" w:rsidRDefault="000801B3" w:rsidP="00C12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98" w:rsidRDefault="00B63698">
      <w:r>
        <w:separator/>
      </w:r>
    </w:p>
  </w:footnote>
  <w:footnote w:type="continuationSeparator" w:id="0">
    <w:p w:rsidR="00B63698" w:rsidRDefault="00B63698">
      <w:r>
        <w:continuationSeparator/>
      </w:r>
    </w:p>
  </w:footnote>
  <w:footnote w:id="1">
    <w:p w:rsidR="000801B3" w:rsidRPr="004D5B68" w:rsidRDefault="000801B3" w:rsidP="008118D6">
      <w:pPr>
        <w:pStyle w:val="FootnoteText"/>
        <w:tabs>
          <w:tab w:val="left" w:pos="360"/>
        </w:tabs>
        <w:ind w:left="357" w:hanging="357"/>
        <w:jc w:val="both"/>
        <w:rPr>
          <w:sz w:val="18"/>
        </w:rPr>
      </w:pPr>
      <w:r w:rsidRPr="0021141D">
        <w:rPr>
          <w:rStyle w:val="FootnoteReference"/>
          <w:rFonts w:ascii="Arial" w:hAnsi="Arial" w:cs="Arial"/>
          <w:sz w:val="22"/>
          <w:szCs w:val="22"/>
          <w:lang w:val="bg-BG"/>
        </w:rPr>
        <w:footnoteRef/>
      </w:r>
      <w:r w:rsidRPr="0021141D">
        <w:rPr>
          <w:rFonts w:ascii="Arial" w:hAnsi="Arial" w:cs="Arial"/>
          <w:sz w:val="22"/>
          <w:szCs w:val="22"/>
          <w:lang w:val="bg-BG"/>
        </w:rPr>
        <w:tab/>
      </w:r>
      <w:r w:rsidRPr="004D5B68">
        <w:rPr>
          <w:rFonts w:ascii="Cambria" w:hAnsi="Cambria"/>
          <w:szCs w:val="22"/>
          <w:lang w:val="bg-BG"/>
        </w:rPr>
        <w:t>Като "междуфирмени" условно се разглеждат задълженията между стопанските субекти (длъжници и кредитори) от нефинансовия сектор на икономиката, при които е възможно да се направи прихващане "задължения - вземания" и при които е възможно двойно отчитане на задълженията и вземанията. Такива са задълженията към доставчици, предприятия в група и асоциирани и смесени предприятия, свързани предприятия, както и облигационни заеми, полици, аванси и други.</w:t>
      </w:r>
    </w:p>
  </w:footnote>
  <w:footnote w:id="2">
    <w:p w:rsidR="000801B3" w:rsidRPr="004D5B68" w:rsidRDefault="000801B3" w:rsidP="008118D6">
      <w:pPr>
        <w:pStyle w:val="FootnoteText"/>
        <w:tabs>
          <w:tab w:val="left" w:pos="360"/>
        </w:tabs>
        <w:ind w:left="357" w:hanging="357"/>
        <w:jc w:val="both"/>
        <w:rPr>
          <w:sz w:val="18"/>
        </w:rPr>
      </w:pPr>
      <w:r w:rsidRPr="004D5B68">
        <w:rPr>
          <w:rStyle w:val="FootnoteReference"/>
          <w:rFonts w:ascii="Cambria" w:hAnsi="Cambria"/>
          <w:szCs w:val="22"/>
          <w:lang w:val="bg-BG"/>
        </w:rPr>
        <w:footnoteRef/>
      </w:r>
      <w:r w:rsidRPr="004D5B68">
        <w:rPr>
          <w:rFonts w:ascii="Cambria" w:hAnsi="Cambria"/>
          <w:szCs w:val="22"/>
          <w:lang w:val="bg-BG"/>
        </w:rPr>
        <w:tab/>
        <w:t>Като "нетни" условно се разглеждат задълженията, които предприятията от нефинансовия сектор на икономиката дължат към финансови предприятия, персонала. Това са задълженията, които не са обвързани с насрещни вземания.</w:t>
      </w:r>
    </w:p>
  </w:footnote>
  <w:footnote w:id="3">
    <w:p w:rsidR="00E40F84" w:rsidRPr="00C05ECA" w:rsidRDefault="00E40F84" w:rsidP="00E40F84">
      <w:pPr>
        <w:spacing w:before="120"/>
        <w:ind w:left="142" w:hanging="142"/>
        <w:jc w:val="both"/>
        <w:rPr>
          <w:rFonts w:ascii="Tahoma" w:hAnsi="Tahoma" w:cs="Tahoma"/>
          <w:sz w:val="20"/>
          <w:szCs w:val="20"/>
        </w:rPr>
      </w:pPr>
      <w:r>
        <w:rPr>
          <w:rStyle w:val="FootnoteReference"/>
        </w:rPr>
        <w:footnoteRef/>
      </w:r>
      <w:r>
        <w:t xml:space="preserve"> </w:t>
      </w:r>
      <w:r>
        <w:rPr>
          <w:rFonts w:ascii="Tahoma" w:hAnsi="Tahoma" w:cs="Tahoma"/>
          <w:sz w:val="20"/>
          <w:szCs w:val="20"/>
        </w:rPr>
        <w:t>Анкетата е проведена сред над 500 мениджъри и собственици на компании в периода 01-10.12.2012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819"/>
    <w:multiLevelType w:val="hybridMultilevel"/>
    <w:tmpl w:val="BEC057AA"/>
    <w:lvl w:ilvl="0" w:tplc="7D606F64">
      <w:numFmt w:val="bullet"/>
      <w:lvlText w:val=""/>
      <w:lvlJc w:val="left"/>
      <w:pPr>
        <w:tabs>
          <w:tab w:val="num" w:pos="2325"/>
        </w:tabs>
        <w:ind w:left="2325" w:hanging="885"/>
      </w:pPr>
      <w:rPr>
        <w:rFonts w:ascii="Symbol" w:eastAsia="Times New Roman"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0BA26F52"/>
    <w:multiLevelType w:val="hybridMultilevel"/>
    <w:tmpl w:val="B41E5656"/>
    <w:lvl w:ilvl="0" w:tplc="0402000F">
      <w:start w:val="1"/>
      <w:numFmt w:val="decimal"/>
      <w:lvlText w:val="%1."/>
      <w:lvlJc w:val="left"/>
      <w:pPr>
        <w:tabs>
          <w:tab w:val="num" w:pos="1080"/>
        </w:tabs>
        <w:ind w:left="1080" w:hanging="360"/>
      </w:pPr>
      <w:rPr>
        <w:rFonts w:cs="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19E526FE"/>
    <w:multiLevelType w:val="hybridMultilevel"/>
    <w:tmpl w:val="3968943E"/>
    <w:lvl w:ilvl="0" w:tplc="9662A006">
      <w:start w:val="1"/>
      <w:numFmt w:val="decimal"/>
      <w:lvlText w:val="%1."/>
      <w:lvlJc w:val="left"/>
      <w:pPr>
        <w:ind w:left="1766" w:hanging="1035"/>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nsid w:val="1D76779A"/>
    <w:multiLevelType w:val="hybridMultilevel"/>
    <w:tmpl w:val="0CA09F10"/>
    <w:lvl w:ilvl="0" w:tplc="9662A006">
      <w:start w:val="1"/>
      <w:numFmt w:val="decimal"/>
      <w:lvlText w:val="%1."/>
      <w:lvlJc w:val="left"/>
      <w:pPr>
        <w:ind w:left="1046" w:hanging="1035"/>
      </w:pPr>
      <w:rPr>
        <w:rFonts w:cs="Times New Roman" w:hint="default"/>
      </w:rPr>
    </w:lvl>
    <w:lvl w:ilvl="1" w:tplc="04090001">
      <w:start w:val="1"/>
      <w:numFmt w:val="bullet"/>
      <w:lvlText w:val=""/>
      <w:lvlJc w:val="left"/>
      <w:pPr>
        <w:tabs>
          <w:tab w:val="num" w:pos="1091"/>
        </w:tabs>
        <w:ind w:left="1091" w:hanging="360"/>
      </w:pPr>
      <w:rPr>
        <w:rFonts w:ascii="Symbol" w:hAnsi="Symbol" w:hint="default"/>
      </w:rPr>
    </w:lvl>
    <w:lvl w:ilvl="2" w:tplc="0402001B" w:tentative="1">
      <w:start w:val="1"/>
      <w:numFmt w:val="lowerRoman"/>
      <w:lvlText w:val="%3."/>
      <w:lvlJc w:val="right"/>
      <w:pPr>
        <w:ind w:left="1811" w:hanging="180"/>
      </w:pPr>
      <w:rPr>
        <w:rFonts w:cs="Times New Roman"/>
      </w:rPr>
    </w:lvl>
    <w:lvl w:ilvl="3" w:tplc="0402000F" w:tentative="1">
      <w:start w:val="1"/>
      <w:numFmt w:val="decimal"/>
      <w:lvlText w:val="%4."/>
      <w:lvlJc w:val="left"/>
      <w:pPr>
        <w:ind w:left="2531" w:hanging="360"/>
      </w:pPr>
      <w:rPr>
        <w:rFonts w:cs="Times New Roman"/>
      </w:rPr>
    </w:lvl>
    <w:lvl w:ilvl="4" w:tplc="04020019" w:tentative="1">
      <w:start w:val="1"/>
      <w:numFmt w:val="lowerLetter"/>
      <w:lvlText w:val="%5."/>
      <w:lvlJc w:val="left"/>
      <w:pPr>
        <w:ind w:left="3251" w:hanging="360"/>
      </w:pPr>
      <w:rPr>
        <w:rFonts w:cs="Times New Roman"/>
      </w:rPr>
    </w:lvl>
    <w:lvl w:ilvl="5" w:tplc="0402001B" w:tentative="1">
      <w:start w:val="1"/>
      <w:numFmt w:val="lowerRoman"/>
      <w:lvlText w:val="%6."/>
      <w:lvlJc w:val="right"/>
      <w:pPr>
        <w:ind w:left="3971" w:hanging="180"/>
      </w:pPr>
      <w:rPr>
        <w:rFonts w:cs="Times New Roman"/>
      </w:rPr>
    </w:lvl>
    <w:lvl w:ilvl="6" w:tplc="0402000F" w:tentative="1">
      <w:start w:val="1"/>
      <w:numFmt w:val="decimal"/>
      <w:lvlText w:val="%7."/>
      <w:lvlJc w:val="left"/>
      <w:pPr>
        <w:ind w:left="4691" w:hanging="360"/>
      </w:pPr>
      <w:rPr>
        <w:rFonts w:cs="Times New Roman"/>
      </w:rPr>
    </w:lvl>
    <w:lvl w:ilvl="7" w:tplc="04020019" w:tentative="1">
      <w:start w:val="1"/>
      <w:numFmt w:val="lowerLetter"/>
      <w:lvlText w:val="%8."/>
      <w:lvlJc w:val="left"/>
      <w:pPr>
        <w:ind w:left="5411" w:hanging="360"/>
      </w:pPr>
      <w:rPr>
        <w:rFonts w:cs="Times New Roman"/>
      </w:rPr>
    </w:lvl>
    <w:lvl w:ilvl="8" w:tplc="0402001B" w:tentative="1">
      <w:start w:val="1"/>
      <w:numFmt w:val="lowerRoman"/>
      <w:lvlText w:val="%9."/>
      <w:lvlJc w:val="right"/>
      <w:pPr>
        <w:ind w:left="6131" w:hanging="180"/>
      </w:pPr>
      <w:rPr>
        <w:rFonts w:cs="Times New Roman"/>
      </w:rPr>
    </w:lvl>
  </w:abstractNum>
  <w:abstractNum w:abstractNumId="4">
    <w:nsid w:val="1E0D1E02"/>
    <w:multiLevelType w:val="hybridMultilevel"/>
    <w:tmpl w:val="BBD46AA6"/>
    <w:lvl w:ilvl="0" w:tplc="0402000F">
      <w:start w:val="1"/>
      <w:numFmt w:val="decimal"/>
      <w:lvlText w:val="%1."/>
      <w:lvlJc w:val="left"/>
      <w:pPr>
        <w:tabs>
          <w:tab w:val="num" w:pos="1429"/>
        </w:tabs>
        <w:ind w:left="1429" w:hanging="360"/>
      </w:pPr>
      <w:rPr>
        <w:rFonts w:cs="Times New Roman"/>
      </w:rPr>
    </w:lvl>
    <w:lvl w:ilvl="1" w:tplc="04020019" w:tentative="1">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5">
    <w:nsid w:val="204A7B15"/>
    <w:multiLevelType w:val="hybridMultilevel"/>
    <w:tmpl w:val="AD24B3B8"/>
    <w:lvl w:ilvl="0" w:tplc="4CDCE7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218E0570"/>
    <w:multiLevelType w:val="hybridMultilevel"/>
    <w:tmpl w:val="72D01D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032F27"/>
    <w:multiLevelType w:val="hybridMultilevel"/>
    <w:tmpl w:val="50AC58DE"/>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8">
    <w:nsid w:val="25282CEF"/>
    <w:multiLevelType w:val="hybridMultilevel"/>
    <w:tmpl w:val="289C688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2A2F0DE7"/>
    <w:multiLevelType w:val="hybridMultilevel"/>
    <w:tmpl w:val="31D4026A"/>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nsid w:val="41EB10EE"/>
    <w:multiLevelType w:val="hybridMultilevel"/>
    <w:tmpl w:val="1AA0CD66"/>
    <w:lvl w:ilvl="0" w:tplc="36C21CB8">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429C157F"/>
    <w:multiLevelType w:val="hybridMultilevel"/>
    <w:tmpl w:val="A4D4F8DE"/>
    <w:lvl w:ilvl="0" w:tplc="1DF825DA">
      <w:start w:val="5"/>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2">
    <w:nsid w:val="45FB72AE"/>
    <w:multiLevelType w:val="singleLevel"/>
    <w:tmpl w:val="D0EA3960"/>
    <w:lvl w:ilvl="0">
      <w:start w:val="8"/>
      <w:numFmt w:val="bullet"/>
      <w:lvlText w:val=""/>
      <w:lvlJc w:val="left"/>
      <w:pPr>
        <w:tabs>
          <w:tab w:val="num" w:pos="360"/>
        </w:tabs>
        <w:ind w:left="360" w:hanging="360"/>
      </w:pPr>
      <w:rPr>
        <w:rFonts w:ascii="Webdings" w:hAnsi="Webdings" w:hint="default"/>
      </w:rPr>
    </w:lvl>
  </w:abstractNum>
  <w:abstractNum w:abstractNumId="13">
    <w:nsid w:val="4A823088"/>
    <w:multiLevelType w:val="hybridMultilevel"/>
    <w:tmpl w:val="1ED2B95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5EE95AD3"/>
    <w:multiLevelType w:val="hybridMultilevel"/>
    <w:tmpl w:val="47F84ACE"/>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5">
    <w:nsid w:val="5FC149C5"/>
    <w:multiLevelType w:val="hybridMultilevel"/>
    <w:tmpl w:val="ECBECC9A"/>
    <w:lvl w:ilvl="0" w:tplc="BEAEA704">
      <w:start w:val="1"/>
      <w:numFmt w:val="decimal"/>
      <w:lvlText w:val="%1."/>
      <w:lvlJc w:val="left"/>
      <w:pPr>
        <w:tabs>
          <w:tab w:val="num" w:pos="1759"/>
        </w:tabs>
        <w:ind w:left="1759" w:hanging="105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6">
    <w:nsid w:val="602C494A"/>
    <w:multiLevelType w:val="hybridMultilevel"/>
    <w:tmpl w:val="AB5675D2"/>
    <w:lvl w:ilvl="0" w:tplc="8A3801D6">
      <w:start w:val="2006"/>
      <w:numFmt w:val="decimal"/>
      <w:lvlText w:val="%1"/>
      <w:lvlJc w:val="left"/>
      <w:pPr>
        <w:tabs>
          <w:tab w:val="num" w:pos="1230"/>
        </w:tabs>
        <w:ind w:left="1230" w:hanging="87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92C07D5"/>
    <w:multiLevelType w:val="singleLevel"/>
    <w:tmpl w:val="D900871E"/>
    <w:lvl w:ilvl="0">
      <w:start w:val="1"/>
      <w:numFmt w:val="bullet"/>
      <w:lvlText w:val="*"/>
      <w:lvlJc w:val="left"/>
      <w:pPr>
        <w:tabs>
          <w:tab w:val="num" w:pos="360"/>
        </w:tabs>
        <w:ind w:left="360" w:hanging="360"/>
      </w:pPr>
      <w:rPr>
        <w:rFonts w:ascii="Times New Roman" w:hAnsi="Times New Roman" w:hint="default"/>
      </w:rPr>
    </w:lvl>
  </w:abstractNum>
  <w:abstractNum w:abstractNumId="18">
    <w:nsid w:val="725C794C"/>
    <w:multiLevelType w:val="hybridMultilevel"/>
    <w:tmpl w:val="7C1CBB18"/>
    <w:lvl w:ilvl="0" w:tplc="0402000F">
      <w:start w:val="1"/>
      <w:numFmt w:val="decimal"/>
      <w:lvlText w:val="%1."/>
      <w:lvlJc w:val="left"/>
      <w:pPr>
        <w:ind w:left="720" w:hanging="360"/>
      </w:pPr>
      <w:rPr>
        <w:rFonts w:hint="default"/>
      </w:rPr>
    </w:lvl>
    <w:lvl w:ilvl="1" w:tplc="04020011">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76B157B"/>
    <w:multiLevelType w:val="singleLevel"/>
    <w:tmpl w:val="B73E4BE2"/>
    <w:lvl w:ilvl="0">
      <w:start w:val="1"/>
      <w:numFmt w:val="decimal"/>
      <w:lvlText w:val="%1."/>
      <w:lvlJc w:val="left"/>
      <w:pPr>
        <w:tabs>
          <w:tab w:val="num" w:pos="1080"/>
        </w:tabs>
        <w:ind w:left="1080" w:hanging="360"/>
      </w:pPr>
      <w:rPr>
        <w:rFonts w:cs="Times New Roman" w:hint="default"/>
      </w:rPr>
    </w:lvl>
  </w:abstractNum>
  <w:abstractNum w:abstractNumId="20">
    <w:nsid w:val="78720F5A"/>
    <w:multiLevelType w:val="hybridMultilevel"/>
    <w:tmpl w:val="380EC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7"/>
  </w:num>
  <w:num w:numId="4">
    <w:abstractNumId w:val="20"/>
  </w:num>
  <w:num w:numId="5">
    <w:abstractNumId w:val="16"/>
  </w:num>
  <w:num w:numId="6">
    <w:abstractNumId w:val="11"/>
  </w:num>
  <w:num w:numId="7">
    <w:abstractNumId w:val="0"/>
  </w:num>
  <w:num w:numId="8">
    <w:abstractNumId w:val="10"/>
  </w:num>
  <w:num w:numId="9">
    <w:abstractNumId w:val="14"/>
  </w:num>
  <w:num w:numId="10">
    <w:abstractNumId w:val="3"/>
  </w:num>
  <w:num w:numId="11">
    <w:abstractNumId w:val="2"/>
  </w:num>
  <w:num w:numId="12">
    <w:abstractNumId w:val="4"/>
  </w:num>
  <w:num w:numId="13">
    <w:abstractNumId w:val="15"/>
  </w:num>
  <w:num w:numId="14">
    <w:abstractNumId w:val="13"/>
  </w:num>
  <w:num w:numId="15">
    <w:abstractNumId w:val="8"/>
  </w:num>
  <w:num w:numId="16">
    <w:abstractNumId w:val="1"/>
  </w:num>
  <w:num w:numId="17">
    <w:abstractNumId w:val="6"/>
  </w:num>
  <w:num w:numId="18">
    <w:abstractNumId w:val="9"/>
  </w:num>
  <w:num w:numId="19">
    <w:abstractNumId w:val="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05"/>
    <w:rsid w:val="00001C1F"/>
    <w:rsid w:val="00006C23"/>
    <w:rsid w:val="00006F84"/>
    <w:rsid w:val="00007202"/>
    <w:rsid w:val="000108F0"/>
    <w:rsid w:val="0001332A"/>
    <w:rsid w:val="00015314"/>
    <w:rsid w:val="000163EB"/>
    <w:rsid w:val="00022BEA"/>
    <w:rsid w:val="00022D56"/>
    <w:rsid w:val="00023C87"/>
    <w:rsid w:val="00023D34"/>
    <w:rsid w:val="000248A7"/>
    <w:rsid w:val="00025924"/>
    <w:rsid w:val="000259BE"/>
    <w:rsid w:val="00026E1E"/>
    <w:rsid w:val="0002754D"/>
    <w:rsid w:val="000301B3"/>
    <w:rsid w:val="0003248A"/>
    <w:rsid w:val="000326B5"/>
    <w:rsid w:val="0003282C"/>
    <w:rsid w:val="000347FA"/>
    <w:rsid w:val="00035142"/>
    <w:rsid w:val="00035F8B"/>
    <w:rsid w:val="00041DB8"/>
    <w:rsid w:val="000426B1"/>
    <w:rsid w:val="000431AC"/>
    <w:rsid w:val="00043942"/>
    <w:rsid w:val="00044F61"/>
    <w:rsid w:val="00045441"/>
    <w:rsid w:val="00045710"/>
    <w:rsid w:val="000473E4"/>
    <w:rsid w:val="00047451"/>
    <w:rsid w:val="00047C55"/>
    <w:rsid w:val="0005001D"/>
    <w:rsid w:val="00050B38"/>
    <w:rsid w:val="0005119B"/>
    <w:rsid w:val="00051F03"/>
    <w:rsid w:val="0005274E"/>
    <w:rsid w:val="00055F2F"/>
    <w:rsid w:val="0006101E"/>
    <w:rsid w:val="00065BAD"/>
    <w:rsid w:val="00067ADB"/>
    <w:rsid w:val="000712D2"/>
    <w:rsid w:val="000717CD"/>
    <w:rsid w:val="00074759"/>
    <w:rsid w:val="0007504C"/>
    <w:rsid w:val="000801B3"/>
    <w:rsid w:val="000808A7"/>
    <w:rsid w:val="00080B05"/>
    <w:rsid w:val="00084AB2"/>
    <w:rsid w:val="00085748"/>
    <w:rsid w:val="00086BEA"/>
    <w:rsid w:val="00090853"/>
    <w:rsid w:val="00091762"/>
    <w:rsid w:val="000966B3"/>
    <w:rsid w:val="000A1ABF"/>
    <w:rsid w:val="000A277B"/>
    <w:rsid w:val="000A2A9A"/>
    <w:rsid w:val="000A4E50"/>
    <w:rsid w:val="000A5800"/>
    <w:rsid w:val="000A60CA"/>
    <w:rsid w:val="000A696D"/>
    <w:rsid w:val="000A6BA8"/>
    <w:rsid w:val="000B07F1"/>
    <w:rsid w:val="000B1314"/>
    <w:rsid w:val="000B46F3"/>
    <w:rsid w:val="000B6475"/>
    <w:rsid w:val="000B7D8F"/>
    <w:rsid w:val="000C022F"/>
    <w:rsid w:val="000C16E2"/>
    <w:rsid w:val="000C201F"/>
    <w:rsid w:val="000C4D12"/>
    <w:rsid w:val="000C536D"/>
    <w:rsid w:val="000C56EC"/>
    <w:rsid w:val="000C5D36"/>
    <w:rsid w:val="000C6061"/>
    <w:rsid w:val="000D1F9D"/>
    <w:rsid w:val="000D2EAE"/>
    <w:rsid w:val="000D31D6"/>
    <w:rsid w:val="000D3D54"/>
    <w:rsid w:val="000D63BE"/>
    <w:rsid w:val="000D675C"/>
    <w:rsid w:val="000D7C34"/>
    <w:rsid w:val="000D7E0D"/>
    <w:rsid w:val="000E16A1"/>
    <w:rsid w:val="000E195B"/>
    <w:rsid w:val="000E2D9C"/>
    <w:rsid w:val="000E354A"/>
    <w:rsid w:val="000E4043"/>
    <w:rsid w:val="000E590A"/>
    <w:rsid w:val="000F07E8"/>
    <w:rsid w:val="000F3129"/>
    <w:rsid w:val="000F3787"/>
    <w:rsid w:val="000F502B"/>
    <w:rsid w:val="000F5B48"/>
    <w:rsid w:val="00102544"/>
    <w:rsid w:val="0010352B"/>
    <w:rsid w:val="00106833"/>
    <w:rsid w:val="00106A87"/>
    <w:rsid w:val="0010701B"/>
    <w:rsid w:val="00107EF6"/>
    <w:rsid w:val="00111325"/>
    <w:rsid w:val="00111B61"/>
    <w:rsid w:val="0011300F"/>
    <w:rsid w:val="00113AE0"/>
    <w:rsid w:val="001170F5"/>
    <w:rsid w:val="0012162D"/>
    <w:rsid w:val="0012196A"/>
    <w:rsid w:val="0012332F"/>
    <w:rsid w:val="00123CDC"/>
    <w:rsid w:val="00124723"/>
    <w:rsid w:val="001313E2"/>
    <w:rsid w:val="0013212A"/>
    <w:rsid w:val="001325FB"/>
    <w:rsid w:val="00133A9D"/>
    <w:rsid w:val="00134AB0"/>
    <w:rsid w:val="001365E6"/>
    <w:rsid w:val="00136B29"/>
    <w:rsid w:val="001401EB"/>
    <w:rsid w:val="0014055B"/>
    <w:rsid w:val="00140C6D"/>
    <w:rsid w:val="001416A0"/>
    <w:rsid w:val="001455FB"/>
    <w:rsid w:val="00145910"/>
    <w:rsid w:val="00150129"/>
    <w:rsid w:val="00155C09"/>
    <w:rsid w:val="00155D6B"/>
    <w:rsid w:val="0015665E"/>
    <w:rsid w:val="001571C3"/>
    <w:rsid w:val="00160CF8"/>
    <w:rsid w:val="001621E5"/>
    <w:rsid w:val="00163D59"/>
    <w:rsid w:val="00164C60"/>
    <w:rsid w:val="001656E0"/>
    <w:rsid w:val="00167688"/>
    <w:rsid w:val="001752D5"/>
    <w:rsid w:val="00177F52"/>
    <w:rsid w:val="00180AEB"/>
    <w:rsid w:val="00183B2D"/>
    <w:rsid w:val="001842DA"/>
    <w:rsid w:val="001856EC"/>
    <w:rsid w:val="001869FB"/>
    <w:rsid w:val="00186A81"/>
    <w:rsid w:val="0019259B"/>
    <w:rsid w:val="00194A9A"/>
    <w:rsid w:val="001A186C"/>
    <w:rsid w:val="001A2BE3"/>
    <w:rsid w:val="001A7A78"/>
    <w:rsid w:val="001A7E64"/>
    <w:rsid w:val="001B16FE"/>
    <w:rsid w:val="001B2270"/>
    <w:rsid w:val="001B3C52"/>
    <w:rsid w:val="001B6B36"/>
    <w:rsid w:val="001B7A79"/>
    <w:rsid w:val="001C1801"/>
    <w:rsid w:val="001C4435"/>
    <w:rsid w:val="001C517B"/>
    <w:rsid w:val="001C59F7"/>
    <w:rsid w:val="001C5E9A"/>
    <w:rsid w:val="001C7580"/>
    <w:rsid w:val="001C7810"/>
    <w:rsid w:val="001C7DF0"/>
    <w:rsid w:val="001D3B95"/>
    <w:rsid w:val="001D3FCA"/>
    <w:rsid w:val="001D6377"/>
    <w:rsid w:val="001D653D"/>
    <w:rsid w:val="001D72CA"/>
    <w:rsid w:val="001E0806"/>
    <w:rsid w:val="001E23FF"/>
    <w:rsid w:val="001E3FFA"/>
    <w:rsid w:val="001E4DD4"/>
    <w:rsid w:val="001F0AC6"/>
    <w:rsid w:val="001F15E4"/>
    <w:rsid w:val="001F1A83"/>
    <w:rsid w:val="001F2A0D"/>
    <w:rsid w:val="001F3836"/>
    <w:rsid w:val="00203136"/>
    <w:rsid w:val="00203FB1"/>
    <w:rsid w:val="0020408D"/>
    <w:rsid w:val="00204D48"/>
    <w:rsid w:val="0021141D"/>
    <w:rsid w:val="002117D8"/>
    <w:rsid w:val="00212A94"/>
    <w:rsid w:val="00215962"/>
    <w:rsid w:val="002202F0"/>
    <w:rsid w:val="00220EF3"/>
    <w:rsid w:val="00222C4D"/>
    <w:rsid w:val="00224A9C"/>
    <w:rsid w:val="002273E3"/>
    <w:rsid w:val="002274BB"/>
    <w:rsid w:val="00227FA8"/>
    <w:rsid w:val="00230091"/>
    <w:rsid w:val="00242A8F"/>
    <w:rsid w:val="00245EEA"/>
    <w:rsid w:val="00250E23"/>
    <w:rsid w:val="002515E9"/>
    <w:rsid w:val="002534F7"/>
    <w:rsid w:val="00254BAA"/>
    <w:rsid w:val="002603C2"/>
    <w:rsid w:val="00261CDD"/>
    <w:rsid w:val="00266D90"/>
    <w:rsid w:val="002704A2"/>
    <w:rsid w:val="00270A2F"/>
    <w:rsid w:val="00271C5F"/>
    <w:rsid w:val="00271E32"/>
    <w:rsid w:val="002739DF"/>
    <w:rsid w:val="00277B7E"/>
    <w:rsid w:val="00283220"/>
    <w:rsid w:val="002850C0"/>
    <w:rsid w:val="0028589D"/>
    <w:rsid w:val="00286097"/>
    <w:rsid w:val="002864AA"/>
    <w:rsid w:val="002912C3"/>
    <w:rsid w:val="002920E2"/>
    <w:rsid w:val="00292BEC"/>
    <w:rsid w:val="00295D74"/>
    <w:rsid w:val="00295F99"/>
    <w:rsid w:val="00296AB6"/>
    <w:rsid w:val="00296D18"/>
    <w:rsid w:val="00297226"/>
    <w:rsid w:val="002A0FCB"/>
    <w:rsid w:val="002A301D"/>
    <w:rsid w:val="002A5275"/>
    <w:rsid w:val="002A587A"/>
    <w:rsid w:val="002A6992"/>
    <w:rsid w:val="002B07E5"/>
    <w:rsid w:val="002B0AB1"/>
    <w:rsid w:val="002C0A8D"/>
    <w:rsid w:val="002C0DD0"/>
    <w:rsid w:val="002C124E"/>
    <w:rsid w:val="002C22E3"/>
    <w:rsid w:val="002C2A49"/>
    <w:rsid w:val="002D1881"/>
    <w:rsid w:val="002D388D"/>
    <w:rsid w:val="002D43BE"/>
    <w:rsid w:val="002D5C07"/>
    <w:rsid w:val="002D68B1"/>
    <w:rsid w:val="002D7FFD"/>
    <w:rsid w:val="002E269A"/>
    <w:rsid w:val="002E2872"/>
    <w:rsid w:val="002E58FD"/>
    <w:rsid w:val="002E6265"/>
    <w:rsid w:val="002E699A"/>
    <w:rsid w:val="002E6A59"/>
    <w:rsid w:val="002F232A"/>
    <w:rsid w:val="002F2BC7"/>
    <w:rsid w:val="002F34B7"/>
    <w:rsid w:val="002F5173"/>
    <w:rsid w:val="002F5BD7"/>
    <w:rsid w:val="00300E0A"/>
    <w:rsid w:val="00303BB2"/>
    <w:rsid w:val="003046EE"/>
    <w:rsid w:val="00304B97"/>
    <w:rsid w:val="00304D20"/>
    <w:rsid w:val="00305CC4"/>
    <w:rsid w:val="00310C4B"/>
    <w:rsid w:val="00312B8D"/>
    <w:rsid w:val="00313762"/>
    <w:rsid w:val="00313BA1"/>
    <w:rsid w:val="00314766"/>
    <w:rsid w:val="00314E50"/>
    <w:rsid w:val="00315646"/>
    <w:rsid w:val="00316AD5"/>
    <w:rsid w:val="003205D7"/>
    <w:rsid w:val="003205DC"/>
    <w:rsid w:val="0032122F"/>
    <w:rsid w:val="00322082"/>
    <w:rsid w:val="003221DA"/>
    <w:rsid w:val="003239A1"/>
    <w:rsid w:val="00323C2A"/>
    <w:rsid w:val="00325DF1"/>
    <w:rsid w:val="003260A4"/>
    <w:rsid w:val="003305DF"/>
    <w:rsid w:val="003344D8"/>
    <w:rsid w:val="00334728"/>
    <w:rsid w:val="003351DC"/>
    <w:rsid w:val="00336C58"/>
    <w:rsid w:val="00337561"/>
    <w:rsid w:val="00337C4B"/>
    <w:rsid w:val="00341AE2"/>
    <w:rsid w:val="00344475"/>
    <w:rsid w:val="00351EDD"/>
    <w:rsid w:val="00352CCC"/>
    <w:rsid w:val="003536A0"/>
    <w:rsid w:val="00360892"/>
    <w:rsid w:val="00360A75"/>
    <w:rsid w:val="00360B71"/>
    <w:rsid w:val="0036108D"/>
    <w:rsid w:val="00362BF0"/>
    <w:rsid w:val="003642E7"/>
    <w:rsid w:val="003644C9"/>
    <w:rsid w:val="00372394"/>
    <w:rsid w:val="003743BB"/>
    <w:rsid w:val="003754A1"/>
    <w:rsid w:val="00375FEA"/>
    <w:rsid w:val="003773E2"/>
    <w:rsid w:val="00383965"/>
    <w:rsid w:val="003905B5"/>
    <w:rsid w:val="003934F3"/>
    <w:rsid w:val="003951C9"/>
    <w:rsid w:val="00395A5C"/>
    <w:rsid w:val="00395CB2"/>
    <w:rsid w:val="00395D1E"/>
    <w:rsid w:val="003974B3"/>
    <w:rsid w:val="00397C95"/>
    <w:rsid w:val="003A1F51"/>
    <w:rsid w:val="003A2EA8"/>
    <w:rsid w:val="003A58F7"/>
    <w:rsid w:val="003A6CAA"/>
    <w:rsid w:val="003B0076"/>
    <w:rsid w:val="003B024B"/>
    <w:rsid w:val="003B0834"/>
    <w:rsid w:val="003B137E"/>
    <w:rsid w:val="003B14AF"/>
    <w:rsid w:val="003B1671"/>
    <w:rsid w:val="003B1CD3"/>
    <w:rsid w:val="003B233D"/>
    <w:rsid w:val="003B2FA5"/>
    <w:rsid w:val="003B5C37"/>
    <w:rsid w:val="003B6F1E"/>
    <w:rsid w:val="003B72F5"/>
    <w:rsid w:val="003B754A"/>
    <w:rsid w:val="003B7742"/>
    <w:rsid w:val="003C1B27"/>
    <w:rsid w:val="003C5075"/>
    <w:rsid w:val="003C6A26"/>
    <w:rsid w:val="003C7855"/>
    <w:rsid w:val="003D539A"/>
    <w:rsid w:val="003D78F0"/>
    <w:rsid w:val="003E2B45"/>
    <w:rsid w:val="003E2F2D"/>
    <w:rsid w:val="003E372D"/>
    <w:rsid w:val="003E38C2"/>
    <w:rsid w:val="003E4D12"/>
    <w:rsid w:val="003E567F"/>
    <w:rsid w:val="003E5CD2"/>
    <w:rsid w:val="003F03C3"/>
    <w:rsid w:val="003F0CC8"/>
    <w:rsid w:val="003F174F"/>
    <w:rsid w:val="003F19EB"/>
    <w:rsid w:val="003F1F21"/>
    <w:rsid w:val="003F2EA6"/>
    <w:rsid w:val="003F45FB"/>
    <w:rsid w:val="003F4A5F"/>
    <w:rsid w:val="003F613D"/>
    <w:rsid w:val="003F7594"/>
    <w:rsid w:val="00401754"/>
    <w:rsid w:val="004017ED"/>
    <w:rsid w:val="0040348E"/>
    <w:rsid w:val="00407762"/>
    <w:rsid w:val="00407EA6"/>
    <w:rsid w:val="00410952"/>
    <w:rsid w:val="00410B75"/>
    <w:rsid w:val="00412940"/>
    <w:rsid w:val="00412CC2"/>
    <w:rsid w:val="004135D5"/>
    <w:rsid w:val="004167F9"/>
    <w:rsid w:val="004171A2"/>
    <w:rsid w:val="00420A8E"/>
    <w:rsid w:val="00422C0C"/>
    <w:rsid w:val="00423993"/>
    <w:rsid w:val="004258B2"/>
    <w:rsid w:val="00426E97"/>
    <w:rsid w:val="00436C4D"/>
    <w:rsid w:val="00441BCF"/>
    <w:rsid w:val="0044328B"/>
    <w:rsid w:val="00444248"/>
    <w:rsid w:val="004454FB"/>
    <w:rsid w:val="00446074"/>
    <w:rsid w:val="00446C88"/>
    <w:rsid w:val="00446DAF"/>
    <w:rsid w:val="004507FB"/>
    <w:rsid w:val="00450965"/>
    <w:rsid w:val="00450C17"/>
    <w:rsid w:val="004518E5"/>
    <w:rsid w:val="00451EE8"/>
    <w:rsid w:val="00452927"/>
    <w:rsid w:val="004542E5"/>
    <w:rsid w:val="00461272"/>
    <w:rsid w:val="00462B86"/>
    <w:rsid w:val="00463E59"/>
    <w:rsid w:val="00467A3C"/>
    <w:rsid w:val="004700A5"/>
    <w:rsid w:val="004702D0"/>
    <w:rsid w:val="00470681"/>
    <w:rsid w:val="0047184E"/>
    <w:rsid w:val="00471A93"/>
    <w:rsid w:val="0047323C"/>
    <w:rsid w:val="00474C89"/>
    <w:rsid w:val="00475EE4"/>
    <w:rsid w:val="004805A2"/>
    <w:rsid w:val="00480E9A"/>
    <w:rsid w:val="00485C8F"/>
    <w:rsid w:val="00485CB0"/>
    <w:rsid w:val="00486E69"/>
    <w:rsid w:val="00487A50"/>
    <w:rsid w:val="0049078B"/>
    <w:rsid w:val="00491181"/>
    <w:rsid w:val="004913EB"/>
    <w:rsid w:val="00491A56"/>
    <w:rsid w:val="00492868"/>
    <w:rsid w:val="004936C8"/>
    <w:rsid w:val="0049381C"/>
    <w:rsid w:val="0049480E"/>
    <w:rsid w:val="00494A09"/>
    <w:rsid w:val="00495E6F"/>
    <w:rsid w:val="00495F9C"/>
    <w:rsid w:val="00496B20"/>
    <w:rsid w:val="004B0DB9"/>
    <w:rsid w:val="004B185A"/>
    <w:rsid w:val="004B21EE"/>
    <w:rsid w:val="004B2A24"/>
    <w:rsid w:val="004B5DB3"/>
    <w:rsid w:val="004C1922"/>
    <w:rsid w:val="004C1D8B"/>
    <w:rsid w:val="004C23F6"/>
    <w:rsid w:val="004C2C2C"/>
    <w:rsid w:val="004C2C93"/>
    <w:rsid w:val="004C30EC"/>
    <w:rsid w:val="004C55EB"/>
    <w:rsid w:val="004C5AA6"/>
    <w:rsid w:val="004C6775"/>
    <w:rsid w:val="004C77BB"/>
    <w:rsid w:val="004D379A"/>
    <w:rsid w:val="004D5B68"/>
    <w:rsid w:val="004E11C3"/>
    <w:rsid w:val="004E127B"/>
    <w:rsid w:val="004E30AE"/>
    <w:rsid w:val="004E3481"/>
    <w:rsid w:val="004E461B"/>
    <w:rsid w:val="004E59DC"/>
    <w:rsid w:val="004E61E1"/>
    <w:rsid w:val="004E6CA7"/>
    <w:rsid w:val="004F37FF"/>
    <w:rsid w:val="004F5027"/>
    <w:rsid w:val="004F5305"/>
    <w:rsid w:val="004F7679"/>
    <w:rsid w:val="00501408"/>
    <w:rsid w:val="0050293F"/>
    <w:rsid w:val="00504ACA"/>
    <w:rsid w:val="00505A33"/>
    <w:rsid w:val="005104B8"/>
    <w:rsid w:val="00510570"/>
    <w:rsid w:val="00510C6D"/>
    <w:rsid w:val="005126DC"/>
    <w:rsid w:val="00516B4F"/>
    <w:rsid w:val="00516DA1"/>
    <w:rsid w:val="0051749F"/>
    <w:rsid w:val="005178DF"/>
    <w:rsid w:val="005204A8"/>
    <w:rsid w:val="00522717"/>
    <w:rsid w:val="00522CF6"/>
    <w:rsid w:val="00523F6B"/>
    <w:rsid w:val="005262EE"/>
    <w:rsid w:val="00527485"/>
    <w:rsid w:val="005305E2"/>
    <w:rsid w:val="00532829"/>
    <w:rsid w:val="00532CF4"/>
    <w:rsid w:val="00533043"/>
    <w:rsid w:val="005335B0"/>
    <w:rsid w:val="00534932"/>
    <w:rsid w:val="0053675B"/>
    <w:rsid w:val="00536F96"/>
    <w:rsid w:val="005377A0"/>
    <w:rsid w:val="00545F27"/>
    <w:rsid w:val="00547FDD"/>
    <w:rsid w:val="00550981"/>
    <w:rsid w:val="00550EB0"/>
    <w:rsid w:val="00560E7D"/>
    <w:rsid w:val="00561D20"/>
    <w:rsid w:val="005636E0"/>
    <w:rsid w:val="00563B0A"/>
    <w:rsid w:val="00563B49"/>
    <w:rsid w:val="00563D8C"/>
    <w:rsid w:val="005729D7"/>
    <w:rsid w:val="00573420"/>
    <w:rsid w:val="0057459A"/>
    <w:rsid w:val="005757B3"/>
    <w:rsid w:val="005762F9"/>
    <w:rsid w:val="005764CC"/>
    <w:rsid w:val="005829ED"/>
    <w:rsid w:val="0058379B"/>
    <w:rsid w:val="00583964"/>
    <w:rsid w:val="00595A84"/>
    <w:rsid w:val="00595ABC"/>
    <w:rsid w:val="00596925"/>
    <w:rsid w:val="005A33E1"/>
    <w:rsid w:val="005A3AAB"/>
    <w:rsid w:val="005A3D22"/>
    <w:rsid w:val="005A621E"/>
    <w:rsid w:val="005A7B69"/>
    <w:rsid w:val="005B090C"/>
    <w:rsid w:val="005B10B2"/>
    <w:rsid w:val="005B19CF"/>
    <w:rsid w:val="005B3590"/>
    <w:rsid w:val="005B4C40"/>
    <w:rsid w:val="005B6C89"/>
    <w:rsid w:val="005C0685"/>
    <w:rsid w:val="005C0A51"/>
    <w:rsid w:val="005C119B"/>
    <w:rsid w:val="005C395A"/>
    <w:rsid w:val="005C45FE"/>
    <w:rsid w:val="005C48DD"/>
    <w:rsid w:val="005C5D63"/>
    <w:rsid w:val="005C6729"/>
    <w:rsid w:val="005C67FD"/>
    <w:rsid w:val="005D0166"/>
    <w:rsid w:val="005D0359"/>
    <w:rsid w:val="005D0439"/>
    <w:rsid w:val="005D06B3"/>
    <w:rsid w:val="005D2BB8"/>
    <w:rsid w:val="005D3215"/>
    <w:rsid w:val="005D3B08"/>
    <w:rsid w:val="005E008D"/>
    <w:rsid w:val="005E22D8"/>
    <w:rsid w:val="005E257F"/>
    <w:rsid w:val="005E3264"/>
    <w:rsid w:val="005E32B8"/>
    <w:rsid w:val="005F2538"/>
    <w:rsid w:val="005F3F0A"/>
    <w:rsid w:val="005F7EED"/>
    <w:rsid w:val="00600B4A"/>
    <w:rsid w:val="006032A5"/>
    <w:rsid w:val="006035CA"/>
    <w:rsid w:val="00603F84"/>
    <w:rsid w:val="00604562"/>
    <w:rsid w:val="00605324"/>
    <w:rsid w:val="006065A2"/>
    <w:rsid w:val="00607106"/>
    <w:rsid w:val="00611B0B"/>
    <w:rsid w:val="0061268C"/>
    <w:rsid w:val="006172F6"/>
    <w:rsid w:val="0061755A"/>
    <w:rsid w:val="00617700"/>
    <w:rsid w:val="00623DE3"/>
    <w:rsid w:val="006265D8"/>
    <w:rsid w:val="00626CCB"/>
    <w:rsid w:val="0063090E"/>
    <w:rsid w:val="00631A0B"/>
    <w:rsid w:val="00634DD6"/>
    <w:rsid w:val="00637B21"/>
    <w:rsid w:val="00637D04"/>
    <w:rsid w:val="006402F5"/>
    <w:rsid w:val="00640D8D"/>
    <w:rsid w:val="00642232"/>
    <w:rsid w:val="00642B3D"/>
    <w:rsid w:val="00646258"/>
    <w:rsid w:val="0064715E"/>
    <w:rsid w:val="00647459"/>
    <w:rsid w:val="00650F70"/>
    <w:rsid w:val="00653D0B"/>
    <w:rsid w:val="00656615"/>
    <w:rsid w:val="0065750D"/>
    <w:rsid w:val="00657993"/>
    <w:rsid w:val="00662F49"/>
    <w:rsid w:val="00663629"/>
    <w:rsid w:val="00665325"/>
    <w:rsid w:val="00667938"/>
    <w:rsid w:val="00674FAD"/>
    <w:rsid w:val="006750FA"/>
    <w:rsid w:val="00675F2A"/>
    <w:rsid w:val="00680881"/>
    <w:rsid w:val="0068275C"/>
    <w:rsid w:val="0068427A"/>
    <w:rsid w:val="00684B1A"/>
    <w:rsid w:val="0068565F"/>
    <w:rsid w:val="00686812"/>
    <w:rsid w:val="0068795B"/>
    <w:rsid w:val="0069158A"/>
    <w:rsid w:val="00691679"/>
    <w:rsid w:val="00693686"/>
    <w:rsid w:val="00693AEE"/>
    <w:rsid w:val="006941FC"/>
    <w:rsid w:val="00694E4C"/>
    <w:rsid w:val="0069524E"/>
    <w:rsid w:val="00696A6C"/>
    <w:rsid w:val="006A5E93"/>
    <w:rsid w:val="006A788F"/>
    <w:rsid w:val="006A78D6"/>
    <w:rsid w:val="006A7D85"/>
    <w:rsid w:val="006A7E24"/>
    <w:rsid w:val="006B03DB"/>
    <w:rsid w:val="006B04F9"/>
    <w:rsid w:val="006B3A78"/>
    <w:rsid w:val="006B3D56"/>
    <w:rsid w:val="006B3D66"/>
    <w:rsid w:val="006B6F19"/>
    <w:rsid w:val="006B7123"/>
    <w:rsid w:val="006B796B"/>
    <w:rsid w:val="006C040E"/>
    <w:rsid w:val="006C40C0"/>
    <w:rsid w:val="006C5D8F"/>
    <w:rsid w:val="006D125D"/>
    <w:rsid w:val="006D1568"/>
    <w:rsid w:val="006D2E50"/>
    <w:rsid w:val="006D3336"/>
    <w:rsid w:val="006D36D5"/>
    <w:rsid w:val="006D6395"/>
    <w:rsid w:val="006E17EE"/>
    <w:rsid w:val="006E1AC3"/>
    <w:rsid w:val="006E38D3"/>
    <w:rsid w:val="006E3CC3"/>
    <w:rsid w:val="006E7EA5"/>
    <w:rsid w:val="006F1107"/>
    <w:rsid w:val="006F6F0D"/>
    <w:rsid w:val="006F7B23"/>
    <w:rsid w:val="00702C81"/>
    <w:rsid w:val="00702DA4"/>
    <w:rsid w:val="00704D25"/>
    <w:rsid w:val="00705542"/>
    <w:rsid w:val="00706D53"/>
    <w:rsid w:val="00706E7B"/>
    <w:rsid w:val="007121DD"/>
    <w:rsid w:val="00712A1A"/>
    <w:rsid w:val="0071416E"/>
    <w:rsid w:val="00720AF4"/>
    <w:rsid w:val="00723973"/>
    <w:rsid w:val="007244E3"/>
    <w:rsid w:val="0072491B"/>
    <w:rsid w:val="00724F55"/>
    <w:rsid w:val="0072637B"/>
    <w:rsid w:val="007265CF"/>
    <w:rsid w:val="00734841"/>
    <w:rsid w:val="007352B1"/>
    <w:rsid w:val="00735F0B"/>
    <w:rsid w:val="0073776F"/>
    <w:rsid w:val="007417BD"/>
    <w:rsid w:val="00743400"/>
    <w:rsid w:val="00743969"/>
    <w:rsid w:val="00743D3E"/>
    <w:rsid w:val="007444F2"/>
    <w:rsid w:val="00744B6B"/>
    <w:rsid w:val="00746EF2"/>
    <w:rsid w:val="0074780F"/>
    <w:rsid w:val="00747E63"/>
    <w:rsid w:val="00750387"/>
    <w:rsid w:val="007523C4"/>
    <w:rsid w:val="00756B72"/>
    <w:rsid w:val="00756ECB"/>
    <w:rsid w:val="00757D74"/>
    <w:rsid w:val="00761182"/>
    <w:rsid w:val="007618CA"/>
    <w:rsid w:val="0076386C"/>
    <w:rsid w:val="00767B8D"/>
    <w:rsid w:val="0077056E"/>
    <w:rsid w:val="00772011"/>
    <w:rsid w:val="00772909"/>
    <w:rsid w:val="00772AA4"/>
    <w:rsid w:val="00773359"/>
    <w:rsid w:val="0077574E"/>
    <w:rsid w:val="00782D02"/>
    <w:rsid w:val="00782DD6"/>
    <w:rsid w:val="007837F0"/>
    <w:rsid w:val="00784E3E"/>
    <w:rsid w:val="0079317F"/>
    <w:rsid w:val="0079464D"/>
    <w:rsid w:val="007947B3"/>
    <w:rsid w:val="00794849"/>
    <w:rsid w:val="00795BF5"/>
    <w:rsid w:val="00796FC3"/>
    <w:rsid w:val="007A0775"/>
    <w:rsid w:val="007A2DE4"/>
    <w:rsid w:val="007A4275"/>
    <w:rsid w:val="007A50AD"/>
    <w:rsid w:val="007A5637"/>
    <w:rsid w:val="007B1711"/>
    <w:rsid w:val="007B4012"/>
    <w:rsid w:val="007B44F0"/>
    <w:rsid w:val="007B4F55"/>
    <w:rsid w:val="007B6856"/>
    <w:rsid w:val="007C1B8A"/>
    <w:rsid w:val="007C309C"/>
    <w:rsid w:val="007C4CD0"/>
    <w:rsid w:val="007D0896"/>
    <w:rsid w:val="007D1116"/>
    <w:rsid w:val="007D2100"/>
    <w:rsid w:val="007D4DEE"/>
    <w:rsid w:val="007D53DF"/>
    <w:rsid w:val="007D58AB"/>
    <w:rsid w:val="007E03A9"/>
    <w:rsid w:val="007E21D4"/>
    <w:rsid w:val="007E2249"/>
    <w:rsid w:val="007E29C8"/>
    <w:rsid w:val="007E6A9B"/>
    <w:rsid w:val="007F5465"/>
    <w:rsid w:val="007F5FF6"/>
    <w:rsid w:val="007F6E8E"/>
    <w:rsid w:val="008013CA"/>
    <w:rsid w:val="008035EA"/>
    <w:rsid w:val="00805449"/>
    <w:rsid w:val="008055BC"/>
    <w:rsid w:val="00807193"/>
    <w:rsid w:val="008118D6"/>
    <w:rsid w:val="008121CC"/>
    <w:rsid w:val="00814B8C"/>
    <w:rsid w:val="00815767"/>
    <w:rsid w:val="008161F2"/>
    <w:rsid w:val="0081623E"/>
    <w:rsid w:val="008164DD"/>
    <w:rsid w:val="0081771F"/>
    <w:rsid w:val="008200F5"/>
    <w:rsid w:val="00821826"/>
    <w:rsid w:val="00822C5F"/>
    <w:rsid w:val="00833906"/>
    <w:rsid w:val="00833B07"/>
    <w:rsid w:val="00834021"/>
    <w:rsid w:val="00834DD0"/>
    <w:rsid w:val="0083579B"/>
    <w:rsid w:val="00835A7A"/>
    <w:rsid w:val="008362B5"/>
    <w:rsid w:val="00837579"/>
    <w:rsid w:val="00837DC8"/>
    <w:rsid w:val="0084102D"/>
    <w:rsid w:val="008419D9"/>
    <w:rsid w:val="00841B11"/>
    <w:rsid w:val="00842858"/>
    <w:rsid w:val="008447AD"/>
    <w:rsid w:val="0084511E"/>
    <w:rsid w:val="0084571D"/>
    <w:rsid w:val="00847F20"/>
    <w:rsid w:val="00852285"/>
    <w:rsid w:val="00852548"/>
    <w:rsid w:val="00854743"/>
    <w:rsid w:val="00857C9B"/>
    <w:rsid w:val="00860D36"/>
    <w:rsid w:val="00863530"/>
    <w:rsid w:val="00863AB0"/>
    <w:rsid w:val="0086617D"/>
    <w:rsid w:val="008672F6"/>
    <w:rsid w:val="00870762"/>
    <w:rsid w:val="00871FF1"/>
    <w:rsid w:val="00872668"/>
    <w:rsid w:val="00874D35"/>
    <w:rsid w:val="00876CD7"/>
    <w:rsid w:val="00876E17"/>
    <w:rsid w:val="0087756A"/>
    <w:rsid w:val="008866D3"/>
    <w:rsid w:val="00887BED"/>
    <w:rsid w:val="008903D1"/>
    <w:rsid w:val="008931D1"/>
    <w:rsid w:val="008976B8"/>
    <w:rsid w:val="008976D9"/>
    <w:rsid w:val="008A0232"/>
    <w:rsid w:val="008A2BF2"/>
    <w:rsid w:val="008A3207"/>
    <w:rsid w:val="008A40A2"/>
    <w:rsid w:val="008A7E98"/>
    <w:rsid w:val="008B0649"/>
    <w:rsid w:val="008B16D0"/>
    <w:rsid w:val="008B22A9"/>
    <w:rsid w:val="008B2C9F"/>
    <w:rsid w:val="008B3B0A"/>
    <w:rsid w:val="008B5CB9"/>
    <w:rsid w:val="008B6040"/>
    <w:rsid w:val="008B7784"/>
    <w:rsid w:val="008C0122"/>
    <w:rsid w:val="008C0580"/>
    <w:rsid w:val="008C09B1"/>
    <w:rsid w:val="008C2FF1"/>
    <w:rsid w:val="008C37CF"/>
    <w:rsid w:val="008C3A12"/>
    <w:rsid w:val="008C3F3E"/>
    <w:rsid w:val="008C5D7D"/>
    <w:rsid w:val="008C7681"/>
    <w:rsid w:val="008D01B2"/>
    <w:rsid w:val="008D0BA9"/>
    <w:rsid w:val="008D36BC"/>
    <w:rsid w:val="008D36C1"/>
    <w:rsid w:val="008D4F20"/>
    <w:rsid w:val="008D57DD"/>
    <w:rsid w:val="008D5B0E"/>
    <w:rsid w:val="008D756F"/>
    <w:rsid w:val="008E0A1B"/>
    <w:rsid w:val="008E149E"/>
    <w:rsid w:val="008E14A6"/>
    <w:rsid w:val="008E15E1"/>
    <w:rsid w:val="008E1D7E"/>
    <w:rsid w:val="008E2031"/>
    <w:rsid w:val="008E2F84"/>
    <w:rsid w:val="008E3162"/>
    <w:rsid w:val="008E357F"/>
    <w:rsid w:val="008E606A"/>
    <w:rsid w:val="008E67CE"/>
    <w:rsid w:val="008F0173"/>
    <w:rsid w:val="008F1A71"/>
    <w:rsid w:val="008F217E"/>
    <w:rsid w:val="008F33C9"/>
    <w:rsid w:val="008F4CB0"/>
    <w:rsid w:val="008F5055"/>
    <w:rsid w:val="008F5462"/>
    <w:rsid w:val="008F63F9"/>
    <w:rsid w:val="008F7985"/>
    <w:rsid w:val="0090117C"/>
    <w:rsid w:val="00902349"/>
    <w:rsid w:val="009028FA"/>
    <w:rsid w:val="00902BF9"/>
    <w:rsid w:val="009034BA"/>
    <w:rsid w:val="00906A06"/>
    <w:rsid w:val="00907C0D"/>
    <w:rsid w:val="00914FE6"/>
    <w:rsid w:val="009202ED"/>
    <w:rsid w:val="00920FC8"/>
    <w:rsid w:val="009223BF"/>
    <w:rsid w:val="00923C32"/>
    <w:rsid w:val="0092637E"/>
    <w:rsid w:val="009269F2"/>
    <w:rsid w:val="00931738"/>
    <w:rsid w:val="00932F6C"/>
    <w:rsid w:val="0093467D"/>
    <w:rsid w:val="0093500D"/>
    <w:rsid w:val="00935098"/>
    <w:rsid w:val="009350F5"/>
    <w:rsid w:val="0093664D"/>
    <w:rsid w:val="009417B5"/>
    <w:rsid w:val="00942947"/>
    <w:rsid w:val="009450D4"/>
    <w:rsid w:val="009452F9"/>
    <w:rsid w:val="00946736"/>
    <w:rsid w:val="00947556"/>
    <w:rsid w:val="009517B1"/>
    <w:rsid w:val="00952330"/>
    <w:rsid w:val="00952E42"/>
    <w:rsid w:val="00953E67"/>
    <w:rsid w:val="00953F15"/>
    <w:rsid w:val="009567D4"/>
    <w:rsid w:val="00956ED0"/>
    <w:rsid w:val="009572BE"/>
    <w:rsid w:val="00957C34"/>
    <w:rsid w:val="009626AC"/>
    <w:rsid w:val="009646B0"/>
    <w:rsid w:val="0096572A"/>
    <w:rsid w:val="00967B34"/>
    <w:rsid w:val="00967C45"/>
    <w:rsid w:val="009701D2"/>
    <w:rsid w:val="009718EF"/>
    <w:rsid w:val="00973726"/>
    <w:rsid w:val="009751C8"/>
    <w:rsid w:val="009809FD"/>
    <w:rsid w:val="00983308"/>
    <w:rsid w:val="00983424"/>
    <w:rsid w:val="0098500C"/>
    <w:rsid w:val="009869F8"/>
    <w:rsid w:val="00987BAC"/>
    <w:rsid w:val="00987D02"/>
    <w:rsid w:val="0099014C"/>
    <w:rsid w:val="009909E4"/>
    <w:rsid w:val="00990D88"/>
    <w:rsid w:val="00991542"/>
    <w:rsid w:val="009918E7"/>
    <w:rsid w:val="00991FE2"/>
    <w:rsid w:val="0099360B"/>
    <w:rsid w:val="009A0238"/>
    <w:rsid w:val="009A03AD"/>
    <w:rsid w:val="009A49D4"/>
    <w:rsid w:val="009A5BB7"/>
    <w:rsid w:val="009A6264"/>
    <w:rsid w:val="009A740A"/>
    <w:rsid w:val="009B2194"/>
    <w:rsid w:val="009B2E28"/>
    <w:rsid w:val="009B4AC1"/>
    <w:rsid w:val="009B5AE8"/>
    <w:rsid w:val="009B6C4B"/>
    <w:rsid w:val="009C090A"/>
    <w:rsid w:val="009C324D"/>
    <w:rsid w:val="009D1428"/>
    <w:rsid w:val="009D2DB9"/>
    <w:rsid w:val="009D7FC5"/>
    <w:rsid w:val="009E196A"/>
    <w:rsid w:val="009E1A8E"/>
    <w:rsid w:val="009E2952"/>
    <w:rsid w:val="009E2A0B"/>
    <w:rsid w:val="009E31F1"/>
    <w:rsid w:val="009E3A1C"/>
    <w:rsid w:val="009E3EF9"/>
    <w:rsid w:val="009E5738"/>
    <w:rsid w:val="009E58BB"/>
    <w:rsid w:val="009E5EAF"/>
    <w:rsid w:val="009E77EC"/>
    <w:rsid w:val="009E7C44"/>
    <w:rsid w:val="009F1446"/>
    <w:rsid w:val="009F14CC"/>
    <w:rsid w:val="009F283E"/>
    <w:rsid w:val="009F3955"/>
    <w:rsid w:val="009F5F3A"/>
    <w:rsid w:val="00A00E09"/>
    <w:rsid w:val="00A015AC"/>
    <w:rsid w:val="00A03112"/>
    <w:rsid w:val="00A0351A"/>
    <w:rsid w:val="00A038DF"/>
    <w:rsid w:val="00A07836"/>
    <w:rsid w:val="00A13978"/>
    <w:rsid w:val="00A14FA5"/>
    <w:rsid w:val="00A17086"/>
    <w:rsid w:val="00A174C9"/>
    <w:rsid w:val="00A226F0"/>
    <w:rsid w:val="00A267D1"/>
    <w:rsid w:val="00A26B02"/>
    <w:rsid w:val="00A33D95"/>
    <w:rsid w:val="00A357E3"/>
    <w:rsid w:val="00A35F86"/>
    <w:rsid w:val="00A361B5"/>
    <w:rsid w:val="00A402DD"/>
    <w:rsid w:val="00A4093B"/>
    <w:rsid w:val="00A41FD1"/>
    <w:rsid w:val="00A4256A"/>
    <w:rsid w:val="00A45E09"/>
    <w:rsid w:val="00A5121E"/>
    <w:rsid w:val="00A55727"/>
    <w:rsid w:val="00A569E1"/>
    <w:rsid w:val="00A56F2B"/>
    <w:rsid w:val="00A57463"/>
    <w:rsid w:val="00A57CCB"/>
    <w:rsid w:val="00A60A95"/>
    <w:rsid w:val="00A611C7"/>
    <w:rsid w:val="00A614E3"/>
    <w:rsid w:val="00A62F4F"/>
    <w:rsid w:val="00A64690"/>
    <w:rsid w:val="00A64A85"/>
    <w:rsid w:val="00A67248"/>
    <w:rsid w:val="00A70AFB"/>
    <w:rsid w:val="00A75310"/>
    <w:rsid w:val="00A81DE4"/>
    <w:rsid w:val="00A83367"/>
    <w:rsid w:val="00A853DB"/>
    <w:rsid w:val="00A85709"/>
    <w:rsid w:val="00A85D2A"/>
    <w:rsid w:val="00A864F6"/>
    <w:rsid w:val="00A8699B"/>
    <w:rsid w:val="00A86B03"/>
    <w:rsid w:val="00A91991"/>
    <w:rsid w:val="00A922F0"/>
    <w:rsid w:val="00A92B05"/>
    <w:rsid w:val="00A92D01"/>
    <w:rsid w:val="00A94073"/>
    <w:rsid w:val="00A95527"/>
    <w:rsid w:val="00A95E91"/>
    <w:rsid w:val="00AA0732"/>
    <w:rsid w:val="00AA1D6E"/>
    <w:rsid w:val="00AA5840"/>
    <w:rsid w:val="00AA62F0"/>
    <w:rsid w:val="00AA7B5F"/>
    <w:rsid w:val="00AA7F32"/>
    <w:rsid w:val="00AB006C"/>
    <w:rsid w:val="00AB3919"/>
    <w:rsid w:val="00AB6DB3"/>
    <w:rsid w:val="00AC074B"/>
    <w:rsid w:val="00AC107F"/>
    <w:rsid w:val="00AC3DDF"/>
    <w:rsid w:val="00AC4FEA"/>
    <w:rsid w:val="00AC62B8"/>
    <w:rsid w:val="00AC7209"/>
    <w:rsid w:val="00AD1BA6"/>
    <w:rsid w:val="00AD2256"/>
    <w:rsid w:val="00AD3DD4"/>
    <w:rsid w:val="00AD4840"/>
    <w:rsid w:val="00AD7A80"/>
    <w:rsid w:val="00AE0277"/>
    <w:rsid w:val="00AE1C5C"/>
    <w:rsid w:val="00AE2041"/>
    <w:rsid w:val="00AE36CC"/>
    <w:rsid w:val="00AE3B67"/>
    <w:rsid w:val="00AE57AC"/>
    <w:rsid w:val="00AE6900"/>
    <w:rsid w:val="00AE6C2A"/>
    <w:rsid w:val="00AE765E"/>
    <w:rsid w:val="00AF0B5E"/>
    <w:rsid w:val="00AF1906"/>
    <w:rsid w:val="00AF3CFB"/>
    <w:rsid w:val="00AF4CF8"/>
    <w:rsid w:val="00AF4D3C"/>
    <w:rsid w:val="00AF5F89"/>
    <w:rsid w:val="00AF7318"/>
    <w:rsid w:val="00B05419"/>
    <w:rsid w:val="00B064BB"/>
    <w:rsid w:val="00B06AFD"/>
    <w:rsid w:val="00B10412"/>
    <w:rsid w:val="00B10718"/>
    <w:rsid w:val="00B11075"/>
    <w:rsid w:val="00B11B17"/>
    <w:rsid w:val="00B123FB"/>
    <w:rsid w:val="00B124D1"/>
    <w:rsid w:val="00B13662"/>
    <w:rsid w:val="00B176AF"/>
    <w:rsid w:val="00B21A45"/>
    <w:rsid w:val="00B22ABB"/>
    <w:rsid w:val="00B22EA7"/>
    <w:rsid w:val="00B25125"/>
    <w:rsid w:val="00B252C9"/>
    <w:rsid w:val="00B27C59"/>
    <w:rsid w:val="00B27DDE"/>
    <w:rsid w:val="00B30CA5"/>
    <w:rsid w:val="00B31AC5"/>
    <w:rsid w:val="00B333A9"/>
    <w:rsid w:val="00B33E93"/>
    <w:rsid w:val="00B35122"/>
    <w:rsid w:val="00B35B7D"/>
    <w:rsid w:val="00B36865"/>
    <w:rsid w:val="00B3711E"/>
    <w:rsid w:val="00B37FB9"/>
    <w:rsid w:val="00B44916"/>
    <w:rsid w:val="00B449FC"/>
    <w:rsid w:val="00B45753"/>
    <w:rsid w:val="00B46001"/>
    <w:rsid w:val="00B4657C"/>
    <w:rsid w:val="00B47852"/>
    <w:rsid w:val="00B5252E"/>
    <w:rsid w:val="00B534BF"/>
    <w:rsid w:val="00B54BFC"/>
    <w:rsid w:val="00B5572D"/>
    <w:rsid w:val="00B60043"/>
    <w:rsid w:val="00B60ADC"/>
    <w:rsid w:val="00B61CDF"/>
    <w:rsid w:val="00B6299A"/>
    <w:rsid w:val="00B6324D"/>
    <w:rsid w:val="00B63698"/>
    <w:rsid w:val="00B659DC"/>
    <w:rsid w:val="00B66029"/>
    <w:rsid w:val="00B71CF7"/>
    <w:rsid w:val="00B72639"/>
    <w:rsid w:val="00B73AC6"/>
    <w:rsid w:val="00B762A6"/>
    <w:rsid w:val="00B81BA7"/>
    <w:rsid w:val="00B8284B"/>
    <w:rsid w:val="00B9021A"/>
    <w:rsid w:val="00B916D6"/>
    <w:rsid w:val="00B92EE1"/>
    <w:rsid w:val="00B93F18"/>
    <w:rsid w:val="00B942C7"/>
    <w:rsid w:val="00B94330"/>
    <w:rsid w:val="00B95A6A"/>
    <w:rsid w:val="00B978A3"/>
    <w:rsid w:val="00B97EAB"/>
    <w:rsid w:val="00BA1A70"/>
    <w:rsid w:val="00BA206B"/>
    <w:rsid w:val="00BA2A1E"/>
    <w:rsid w:val="00BA4169"/>
    <w:rsid w:val="00BA716B"/>
    <w:rsid w:val="00BB1136"/>
    <w:rsid w:val="00BB1516"/>
    <w:rsid w:val="00BB235B"/>
    <w:rsid w:val="00BB2D06"/>
    <w:rsid w:val="00BB3A95"/>
    <w:rsid w:val="00BB4EE6"/>
    <w:rsid w:val="00BB5554"/>
    <w:rsid w:val="00BB63D1"/>
    <w:rsid w:val="00BB6F70"/>
    <w:rsid w:val="00BC1FE3"/>
    <w:rsid w:val="00BC21CE"/>
    <w:rsid w:val="00BC7B30"/>
    <w:rsid w:val="00BD18AD"/>
    <w:rsid w:val="00BD2666"/>
    <w:rsid w:val="00BD3024"/>
    <w:rsid w:val="00BD382F"/>
    <w:rsid w:val="00BD7399"/>
    <w:rsid w:val="00BD742B"/>
    <w:rsid w:val="00BE0A32"/>
    <w:rsid w:val="00BE278D"/>
    <w:rsid w:val="00BE55E5"/>
    <w:rsid w:val="00BE6F01"/>
    <w:rsid w:val="00BE7C8F"/>
    <w:rsid w:val="00BF02D7"/>
    <w:rsid w:val="00BF16E5"/>
    <w:rsid w:val="00BF38CA"/>
    <w:rsid w:val="00BF410B"/>
    <w:rsid w:val="00BF73BD"/>
    <w:rsid w:val="00BF7929"/>
    <w:rsid w:val="00C00545"/>
    <w:rsid w:val="00C00865"/>
    <w:rsid w:val="00C00C8A"/>
    <w:rsid w:val="00C00D6B"/>
    <w:rsid w:val="00C01F1B"/>
    <w:rsid w:val="00C05ECA"/>
    <w:rsid w:val="00C07903"/>
    <w:rsid w:val="00C07ED2"/>
    <w:rsid w:val="00C1258F"/>
    <w:rsid w:val="00C134DC"/>
    <w:rsid w:val="00C14315"/>
    <w:rsid w:val="00C145F0"/>
    <w:rsid w:val="00C17382"/>
    <w:rsid w:val="00C207DB"/>
    <w:rsid w:val="00C2246F"/>
    <w:rsid w:val="00C22544"/>
    <w:rsid w:val="00C22B7A"/>
    <w:rsid w:val="00C24546"/>
    <w:rsid w:val="00C26062"/>
    <w:rsid w:val="00C26306"/>
    <w:rsid w:val="00C3021E"/>
    <w:rsid w:val="00C31905"/>
    <w:rsid w:val="00C31C49"/>
    <w:rsid w:val="00C3265E"/>
    <w:rsid w:val="00C34D4C"/>
    <w:rsid w:val="00C35416"/>
    <w:rsid w:val="00C36F90"/>
    <w:rsid w:val="00C40813"/>
    <w:rsid w:val="00C41CE8"/>
    <w:rsid w:val="00C46C79"/>
    <w:rsid w:val="00C473F6"/>
    <w:rsid w:val="00C50512"/>
    <w:rsid w:val="00C50825"/>
    <w:rsid w:val="00C50D9C"/>
    <w:rsid w:val="00C517A7"/>
    <w:rsid w:val="00C63159"/>
    <w:rsid w:val="00C63229"/>
    <w:rsid w:val="00C63CC2"/>
    <w:rsid w:val="00C642BE"/>
    <w:rsid w:val="00C678BC"/>
    <w:rsid w:val="00C701D8"/>
    <w:rsid w:val="00C71576"/>
    <w:rsid w:val="00C727D7"/>
    <w:rsid w:val="00C747D6"/>
    <w:rsid w:val="00C750B4"/>
    <w:rsid w:val="00C7541C"/>
    <w:rsid w:val="00C77657"/>
    <w:rsid w:val="00C82B9B"/>
    <w:rsid w:val="00C845B7"/>
    <w:rsid w:val="00C86D69"/>
    <w:rsid w:val="00C87CC7"/>
    <w:rsid w:val="00C91DD8"/>
    <w:rsid w:val="00C92458"/>
    <w:rsid w:val="00C9283E"/>
    <w:rsid w:val="00C93E14"/>
    <w:rsid w:val="00C93ED5"/>
    <w:rsid w:val="00C940EB"/>
    <w:rsid w:val="00C96B50"/>
    <w:rsid w:val="00CA082D"/>
    <w:rsid w:val="00CA0A53"/>
    <w:rsid w:val="00CA2083"/>
    <w:rsid w:val="00CA38F0"/>
    <w:rsid w:val="00CA3CD5"/>
    <w:rsid w:val="00CA64C1"/>
    <w:rsid w:val="00CA6DFF"/>
    <w:rsid w:val="00CA76AE"/>
    <w:rsid w:val="00CA7CFF"/>
    <w:rsid w:val="00CB024D"/>
    <w:rsid w:val="00CB2F21"/>
    <w:rsid w:val="00CB4373"/>
    <w:rsid w:val="00CB475E"/>
    <w:rsid w:val="00CB48E6"/>
    <w:rsid w:val="00CB569D"/>
    <w:rsid w:val="00CB5EDF"/>
    <w:rsid w:val="00CB6103"/>
    <w:rsid w:val="00CB773E"/>
    <w:rsid w:val="00CB77B8"/>
    <w:rsid w:val="00CC068B"/>
    <w:rsid w:val="00CC1F13"/>
    <w:rsid w:val="00CC49AD"/>
    <w:rsid w:val="00CC761E"/>
    <w:rsid w:val="00CD199B"/>
    <w:rsid w:val="00CD1F33"/>
    <w:rsid w:val="00CD250A"/>
    <w:rsid w:val="00CD6FDD"/>
    <w:rsid w:val="00CE2C39"/>
    <w:rsid w:val="00CF09F7"/>
    <w:rsid w:val="00CF0D6E"/>
    <w:rsid w:val="00CF320E"/>
    <w:rsid w:val="00CF5AC9"/>
    <w:rsid w:val="00CF5D4C"/>
    <w:rsid w:val="00CF6785"/>
    <w:rsid w:val="00CF6BF2"/>
    <w:rsid w:val="00D062D9"/>
    <w:rsid w:val="00D06B25"/>
    <w:rsid w:val="00D06C31"/>
    <w:rsid w:val="00D06D7B"/>
    <w:rsid w:val="00D077C6"/>
    <w:rsid w:val="00D07B7D"/>
    <w:rsid w:val="00D10A93"/>
    <w:rsid w:val="00D11BB1"/>
    <w:rsid w:val="00D127AE"/>
    <w:rsid w:val="00D177B2"/>
    <w:rsid w:val="00D2114E"/>
    <w:rsid w:val="00D22163"/>
    <w:rsid w:val="00D227E3"/>
    <w:rsid w:val="00D22A40"/>
    <w:rsid w:val="00D2363E"/>
    <w:rsid w:val="00D2370C"/>
    <w:rsid w:val="00D23D2E"/>
    <w:rsid w:val="00D259A3"/>
    <w:rsid w:val="00D26712"/>
    <w:rsid w:val="00D27035"/>
    <w:rsid w:val="00D27A98"/>
    <w:rsid w:val="00D30A62"/>
    <w:rsid w:val="00D32257"/>
    <w:rsid w:val="00D32CF8"/>
    <w:rsid w:val="00D34849"/>
    <w:rsid w:val="00D34BCE"/>
    <w:rsid w:val="00D357A3"/>
    <w:rsid w:val="00D40A4B"/>
    <w:rsid w:val="00D415DB"/>
    <w:rsid w:val="00D42F18"/>
    <w:rsid w:val="00D463A0"/>
    <w:rsid w:val="00D5058A"/>
    <w:rsid w:val="00D510D6"/>
    <w:rsid w:val="00D53BD6"/>
    <w:rsid w:val="00D53F49"/>
    <w:rsid w:val="00D54BE1"/>
    <w:rsid w:val="00D557A2"/>
    <w:rsid w:val="00D60009"/>
    <w:rsid w:val="00D61BE7"/>
    <w:rsid w:val="00D62C88"/>
    <w:rsid w:val="00D641EF"/>
    <w:rsid w:val="00D64747"/>
    <w:rsid w:val="00D64778"/>
    <w:rsid w:val="00D64874"/>
    <w:rsid w:val="00D70CE1"/>
    <w:rsid w:val="00D71242"/>
    <w:rsid w:val="00D739D3"/>
    <w:rsid w:val="00D800E8"/>
    <w:rsid w:val="00D80C15"/>
    <w:rsid w:val="00D813EC"/>
    <w:rsid w:val="00D8263C"/>
    <w:rsid w:val="00D8537D"/>
    <w:rsid w:val="00D86369"/>
    <w:rsid w:val="00D93805"/>
    <w:rsid w:val="00D93BC3"/>
    <w:rsid w:val="00D97ADF"/>
    <w:rsid w:val="00DA613B"/>
    <w:rsid w:val="00DA7DB3"/>
    <w:rsid w:val="00DB4D1C"/>
    <w:rsid w:val="00DB5A63"/>
    <w:rsid w:val="00DB63DB"/>
    <w:rsid w:val="00DC3049"/>
    <w:rsid w:val="00DC3FF0"/>
    <w:rsid w:val="00DC602A"/>
    <w:rsid w:val="00DC6497"/>
    <w:rsid w:val="00DC7376"/>
    <w:rsid w:val="00DD0E1F"/>
    <w:rsid w:val="00DD11E5"/>
    <w:rsid w:val="00DD3845"/>
    <w:rsid w:val="00DD4F6C"/>
    <w:rsid w:val="00DD751A"/>
    <w:rsid w:val="00DD7A69"/>
    <w:rsid w:val="00DE1E96"/>
    <w:rsid w:val="00DF1057"/>
    <w:rsid w:val="00DF23A1"/>
    <w:rsid w:val="00DF29D0"/>
    <w:rsid w:val="00DF426B"/>
    <w:rsid w:val="00DF6C66"/>
    <w:rsid w:val="00DF7BB0"/>
    <w:rsid w:val="00E0054A"/>
    <w:rsid w:val="00E00AC7"/>
    <w:rsid w:val="00E0140B"/>
    <w:rsid w:val="00E059B7"/>
    <w:rsid w:val="00E05B81"/>
    <w:rsid w:val="00E06BB3"/>
    <w:rsid w:val="00E07867"/>
    <w:rsid w:val="00E07A48"/>
    <w:rsid w:val="00E07B97"/>
    <w:rsid w:val="00E12037"/>
    <w:rsid w:val="00E125B3"/>
    <w:rsid w:val="00E13E9D"/>
    <w:rsid w:val="00E172AC"/>
    <w:rsid w:val="00E2489B"/>
    <w:rsid w:val="00E266EE"/>
    <w:rsid w:val="00E30A4A"/>
    <w:rsid w:val="00E31488"/>
    <w:rsid w:val="00E321FE"/>
    <w:rsid w:val="00E32DDB"/>
    <w:rsid w:val="00E34596"/>
    <w:rsid w:val="00E3466E"/>
    <w:rsid w:val="00E37C8E"/>
    <w:rsid w:val="00E40806"/>
    <w:rsid w:val="00E40F84"/>
    <w:rsid w:val="00E41272"/>
    <w:rsid w:val="00E412D0"/>
    <w:rsid w:val="00E463D0"/>
    <w:rsid w:val="00E522A3"/>
    <w:rsid w:val="00E52CE0"/>
    <w:rsid w:val="00E53458"/>
    <w:rsid w:val="00E53AA6"/>
    <w:rsid w:val="00E5586A"/>
    <w:rsid w:val="00E62ACB"/>
    <w:rsid w:val="00E653C2"/>
    <w:rsid w:val="00E67D42"/>
    <w:rsid w:val="00E73063"/>
    <w:rsid w:val="00E73BC1"/>
    <w:rsid w:val="00E73D3D"/>
    <w:rsid w:val="00E74C98"/>
    <w:rsid w:val="00E75502"/>
    <w:rsid w:val="00E75517"/>
    <w:rsid w:val="00E76B75"/>
    <w:rsid w:val="00E8001F"/>
    <w:rsid w:val="00E80F89"/>
    <w:rsid w:val="00E817A3"/>
    <w:rsid w:val="00E81C98"/>
    <w:rsid w:val="00E82135"/>
    <w:rsid w:val="00E828AD"/>
    <w:rsid w:val="00E84E9A"/>
    <w:rsid w:val="00E900B0"/>
    <w:rsid w:val="00E9026E"/>
    <w:rsid w:val="00E914B9"/>
    <w:rsid w:val="00E92646"/>
    <w:rsid w:val="00E953A3"/>
    <w:rsid w:val="00E95B17"/>
    <w:rsid w:val="00E95C3F"/>
    <w:rsid w:val="00E963E7"/>
    <w:rsid w:val="00E96811"/>
    <w:rsid w:val="00E970D5"/>
    <w:rsid w:val="00EA48B9"/>
    <w:rsid w:val="00EA5BF7"/>
    <w:rsid w:val="00EA636F"/>
    <w:rsid w:val="00EA7F3C"/>
    <w:rsid w:val="00EB26B7"/>
    <w:rsid w:val="00EB323F"/>
    <w:rsid w:val="00EB429A"/>
    <w:rsid w:val="00EB7B50"/>
    <w:rsid w:val="00EC2051"/>
    <w:rsid w:val="00EC27B1"/>
    <w:rsid w:val="00EC306B"/>
    <w:rsid w:val="00EC3549"/>
    <w:rsid w:val="00EC3954"/>
    <w:rsid w:val="00EC4508"/>
    <w:rsid w:val="00EC469C"/>
    <w:rsid w:val="00EC498E"/>
    <w:rsid w:val="00EC553D"/>
    <w:rsid w:val="00EC555D"/>
    <w:rsid w:val="00EC59FC"/>
    <w:rsid w:val="00EC62AF"/>
    <w:rsid w:val="00EC7AAC"/>
    <w:rsid w:val="00ED2F54"/>
    <w:rsid w:val="00ED6340"/>
    <w:rsid w:val="00EE2327"/>
    <w:rsid w:val="00EE2DB8"/>
    <w:rsid w:val="00EE3C17"/>
    <w:rsid w:val="00EE4A3F"/>
    <w:rsid w:val="00EE5B0F"/>
    <w:rsid w:val="00EE6D28"/>
    <w:rsid w:val="00EE787B"/>
    <w:rsid w:val="00EF0A5A"/>
    <w:rsid w:val="00EF6DBD"/>
    <w:rsid w:val="00EF76F2"/>
    <w:rsid w:val="00F07171"/>
    <w:rsid w:val="00F07220"/>
    <w:rsid w:val="00F11993"/>
    <w:rsid w:val="00F11C92"/>
    <w:rsid w:val="00F14910"/>
    <w:rsid w:val="00F15246"/>
    <w:rsid w:val="00F172E2"/>
    <w:rsid w:val="00F17361"/>
    <w:rsid w:val="00F229CA"/>
    <w:rsid w:val="00F23338"/>
    <w:rsid w:val="00F243C5"/>
    <w:rsid w:val="00F25FE0"/>
    <w:rsid w:val="00F263B5"/>
    <w:rsid w:val="00F3079D"/>
    <w:rsid w:val="00F30FEA"/>
    <w:rsid w:val="00F3570F"/>
    <w:rsid w:val="00F376D9"/>
    <w:rsid w:val="00F4183A"/>
    <w:rsid w:val="00F41E05"/>
    <w:rsid w:val="00F431D4"/>
    <w:rsid w:val="00F47F10"/>
    <w:rsid w:val="00F51697"/>
    <w:rsid w:val="00F51A09"/>
    <w:rsid w:val="00F54214"/>
    <w:rsid w:val="00F54952"/>
    <w:rsid w:val="00F54DFB"/>
    <w:rsid w:val="00F553D4"/>
    <w:rsid w:val="00F5569D"/>
    <w:rsid w:val="00F55822"/>
    <w:rsid w:val="00F5736C"/>
    <w:rsid w:val="00F579B7"/>
    <w:rsid w:val="00F60215"/>
    <w:rsid w:val="00F6041C"/>
    <w:rsid w:val="00F608C1"/>
    <w:rsid w:val="00F60E1F"/>
    <w:rsid w:val="00F60E88"/>
    <w:rsid w:val="00F61F48"/>
    <w:rsid w:val="00F62340"/>
    <w:rsid w:val="00F629FA"/>
    <w:rsid w:val="00F660AB"/>
    <w:rsid w:val="00F66D7E"/>
    <w:rsid w:val="00F6742B"/>
    <w:rsid w:val="00F70E38"/>
    <w:rsid w:val="00F71464"/>
    <w:rsid w:val="00F7226C"/>
    <w:rsid w:val="00F760CB"/>
    <w:rsid w:val="00F817DA"/>
    <w:rsid w:val="00F8549A"/>
    <w:rsid w:val="00F9051B"/>
    <w:rsid w:val="00F919A0"/>
    <w:rsid w:val="00F92FE5"/>
    <w:rsid w:val="00F93B58"/>
    <w:rsid w:val="00F95443"/>
    <w:rsid w:val="00F959B4"/>
    <w:rsid w:val="00F9702B"/>
    <w:rsid w:val="00FA2536"/>
    <w:rsid w:val="00FA2DB3"/>
    <w:rsid w:val="00FA3DBD"/>
    <w:rsid w:val="00FA3F68"/>
    <w:rsid w:val="00FA42B6"/>
    <w:rsid w:val="00FA484D"/>
    <w:rsid w:val="00FA5247"/>
    <w:rsid w:val="00FA6D91"/>
    <w:rsid w:val="00FA7F17"/>
    <w:rsid w:val="00FB080A"/>
    <w:rsid w:val="00FB13CF"/>
    <w:rsid w:val="00FB1B1F"/>
    <w:rsid w:val="00FB3FE9"/>
    <w:rsid w:val="00FB639E"/>
    <w:rsid w:val="00FB6E56"/>
    <w:rsid w:val="00FC085F"/>
    <w:rsid w:val="00FC2C74"/>
    <w:rsid w:val="00FC37C8"/>
    <w:rsid w:val="00FC6797"/>
    <w:rsid w:val="00FD16B8"/>
    <w:rsid w:val="00FD3870"/>
    <w:rsid w:val="00FD3A38"/>
    <w:rsid w:val="00FD44AF"/>
    <w:rsid w:val="00FD4CCB"/>
    <w:rsid w:val="00FD50A4"/>
    <w:rsid w:val="00FE1844"/>
    <w:rsid w:val="00FE5AA7"/>
    <w:rsid w:val="00FE7DE7"/>
    <w:rsid w:val="00FF2141"/>
    <w:rsid w:val="00FF251B"/>
    <w:rsid w:val="00FF2740"/>
    <w:rsid w:val="00FF3BC3"/>
    <w:rsid w:val="00FF496C"/>
    <w:rsid w:val="00FF5511"/>
    <w:rsid w:val="00FF719F"/>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E7"/>
    <w:rPr>
      <w:sz w:val="24"/>
      <w:szCs w:val="24"/>
      <w:lang w:eastAsia="en-US"/>
    </w:rPr>
  </w:style>
  <w:style w:type="paragraph" w:styleId="Heading1">
    <w:name w:val="heading 1"/>
    <w:basedOn w:val="Normal"/>
    <w:next w:val="Normal"/>
    <w:link w:val="Heading1Char"/>
    <w:uiPriority w:val="99"/>
    <w:qFormat/>
    <w:rsid w:val="00FE7DE7"/>
    <w:pPr>
      <w:keepNext/>
      <w:ind w:left="1440"/>
      <w:outlineLvl w:val="0"/>
    </w:pPr>
    <w:rPr>
      <w:b/>
      <w:bCs/>
      <w:sz w:val="44"/>
      <w:szCs w:val="44"/>
    </w:rPr>
  </w:style>
  <w:style w:type="paragraph" w:styleId="Heading2">
    <w:name w:val="heading 2"/>
    <w:basedOn w:val="Normal"/>
    <w:next w:val="Normal"/>
    <w:link w:val="Heading2Char"/>
    <w:uiPriority w:val="99"/>
    <w:qFormat/>
    <w:rsid w:val="00FE7DE7"/>
    <w:pPr>
      <w:keepNext/>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7DE7"/>
    <w:pPr>
      <w:keepNext/>
      <w:outlineLvl w:val="2"/>
    </w:pPr>
    <w:rPr>
      <w:b/>
      <w:bCs/>
    </w:rPr>
  </w:style>
  <w:style w:type="paragraph" w:styleId="Heading4">
    <w:name w:val="heading 4"/>
    <w:basedOn w:val="Normal"/>
    <w:next w:val="Normal"/>
    <w:link w:val="Heading4Char"/>
    <w:uiPriority w:val="99"/>
    <w:qFormat/>
    <w:rsid w:val="00FE7DE7"/>
    <w:pPr>
      <w:keepNext/>
      <w:tabs>
        <w:tab w:val="left" w:pos="7085"/>
        <w:tab w:val="left" w:pos="14170"/>
      </w:tabs>
      <w:jc w:val="center"/>
      <w:outlineLvl w:val="3"/>
    </w:pPr>
    <w:rPr>
      <w:rFonts w:ascii="Arial" w:hAnsi="Arial" w:cs="Arial"/>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F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742F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742F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742FF"/>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rsid w:val="00FE7DE7"/>
    <w:pPr>
      <w:tabs>
        <w:tab w:val="center" w:pos="4153"/>
        <w:tab w:val="right" w:pos="8306"/>
      </w:tabs>
    </w:pPr>
    <w:rPr>
      <w:sz w:val="20"/>
      <w:szCs w:val="20"/>
      <w:lang w:val="en-AU"/>
    </w:rPr>
  </w:style>
  <w:style w:type="character" w:customStyle="1" w:styleId="FooterChar">
    <w:name w:val="Footer Char"/>
    <w:basedOn w:val="DefaultParagraphFont"/>
    <w:link w:val="Footer"/>
    <w:uiPriority w:val="99"/>
    <w:semiHidden/>
    <w:rsid w:val="008742FF"/>
    <w:rPr>
      <w:sz w:val="24"/>
      <w:szCs w:val="24"/>
      <w:lang w:eastAsia="en-US"/>
    </w:rPr>
  </w:style>
  <w:style w:type="character" w:styleId="PageNumber">
    <w:name w:val="page number"/>
    <w:basedOn w:val="DefaultParagraphFont"/>
    <w:uiPriority w:val="99"/>
    <w:rsid w:val="00FE7DE7"/>
    <w:rPr>
      <w:rFonts w:cs="Times New Roman"/>
    </w:rPr>
  </w:style>
  <w:style w:type="character" w:styleId="Hyperlink">
    <w:name w:val="Hyperlink"/>
    <w:basedOn w:val="DefaultParagraphFont"/>
    <w:uiPriority w:val="99"/>
    <w:rsid w:val="00FE7DE7"/>
    <w:rPr>
      <w:rFonts w:cs="Times New Roman"/>
      <w:color w:val="0000FF"/>
      <w:u w:val="single"/>
    </w:rPr>
  </w:style>
  <w:style w:type="paragraph" w:styleId="BodyText3">
    <w:name w:val="Body Text 3"/>
    <w:basedOn w:val="Normal"/>
    <w:link w:val="BodyText3Char"/>
    <w:uiPriority w:val="99"/>
    <w:rsid w:val="00FE7DE7"/>
  </w:style>
  <w:style w:type="character" w:customStyle="1" w:styleId="BodyText3Char">
    <w:name w:val="Body Text 3 Char"/>
    <w:basedOn w:val="DefaultParagraphFont"/>
    <w:link w:val="BodyText3"/>
    <w:uiPriority w:val="99"/>
    <w:semiHidden/>
    <w:rsid w:val="008742FF"/>
    <w:rPr>
      <w:sz w:val="16"/>
      <w:szCs w:val="16"/>
      <w:lang w:eastAsia="en-US"/>
    </w:rPr>
  </w:style>
  <w:style w:type="paragraph" w:styleId="BodyText2">
    <w:name w:val="Body Text 2"/>
    <w:basedOn w:val="Normal"/>
    <w:link w:val="BodyText2Char"/>
    <w:uiPriority w:val="99"/>
    <w:rsid w:val="00FE7DE7"/>
    <w:pPr>
      <w:ind w:firstLine="720"/>
      <w:jc w:val="both"/>
    </w:pPr>
  </w:style>
  <w:style w:type="character" w:customStyle="1" w:styleId="BodyText2Char">
    <w:name w:val="Body Text 2 Char"/>
    <w:basedOn w:val="DefaultParagraphFont"/>
    <w:link w:val="BodyText2"/>
    <w:uiPriority w:val="99"/>
    <w:semiHidden/>
    <w:rsid w:val="008742FF"/>
    <w:rPr>
      <w:sz w:val="24"/>
      <w:szCs w:val="24"/>
      <w:lang w:eastAsia="en-US"/>
    </w:rPr>
  </w:style>
  <w:style w:type="paragraph" w:styleId="Header">
    <w:name w:val="header"/>
    <w:basedOn w:val="Normal"/>
    <w:link w:val="HeaderChar"/>
    <w:uiPriority w:val="99"/>
    <w:rsid w:val="00FE7DE7"/>
    <w:pPr>
      <w:tabs>
        <w:tab w:val="center" w:pos="4153"/>
        <w:tab w:val="right" w:pos="8306"/>
      </w:tabs>
    </w:pPr>
  </w:style>
  <w:style w:type="character" w:customStyle="1" w:styleId="HeaderChar">
    <w:name w:val="Header Char"/>
    <w:basedOn w:val="DefaultParagraphFont"/>
    <w:link w:val="Header"/>
    <w:uiPriority w:val="99"/>
    <w:semiHidden/>
    <w:rsid w:val="008742FF"/>
    <w:rPr>
      <w:sz w:val="24"/>
      <w:szCs w:val="24"/>
      <w:lang w:eastAsia="en-US"/>
    </w:rPr>
  </w:style>
  <w:style w:type="paragraph" w:styleId="BodyText">
    <w:name w:val="Body Text"/>
    <w:basedOn w:val="Normal"/>
    <w:link w:val="BodyTextChar"/>
    <w:uiPriority w:val="99"/>
    <w:rsid w:val="00FE7DE7"/>
    <w:pPr>
      <w:jc w:val="center"/>
    </w:pPr>
    <w:rPr>
      <w:rFonts w:ascii="Arial" w:hAnsi="Arial" w:cs="Arial"/>
      <w:b/>
      <w:bCs/>
      <w:sz w:val="28"/>
      <w:szCs w:val="28"/>
    </w:rPr>
  </w:style>
  <w:style w:type="character" w:customStyle="1" w:styleId="BodyTextChar">
    <w:name w:val="Body Text Char"/>
    <w:basedOn w:val="DefaultParagraphFont"/>
    <w:link w:val="BodyText"/>
    <w:uiPriority w:val="99"/>
    <w:semiHidden/>
    <w:rsid w:val="008742FF"/>
    <w:rPr>
      <w:sz w:val="24"/>
      <w:szCs w:val="24"/>
      <w:lang w:eastAsia="en-US"/>
    </w:rPr>
  </w:style>
  <w:style w:type="character" w:styleId="FootnoteReference">
    <w:name w:val="footnote reference"/>
    <w:basedOn w:val="DefaultParagraphFont"/>
    <w:uiPriority w:val="99"/>
    <w:semiHidden/>
    <w:rsid w:val="00FE7DE7"/>
    <w:rPr>
      <w:rFonts w:cs="Times New Roman"/>
      <w:vertAlign w:val="superscript"/>
    </w:rPr>
  </w:style>
  <w:style w:type="paragraph" w:styleId="FootnoteText">
    <w:name w:val="footnote text"/>
    <w:basedOn w:val="Normal"/>
    <w:link w:val="FootnoteTextChar"/>
    <w:uiPriority w:val="99"/>
    <w:semiHidden/>
    <w:rsid w:val="00FE7DE7"/>
    <w:rPr>
      <w:sz w:val="20"/>
      <w:szCs w:val="20"/>
      <w:lang w:val="en-US"/>
    </w:rPr>
  </w:style>
  <w:style w:type="character" w:customStyle="1" w:styleId="FootnoteTextChar">
    <w:name w:val="Footnote Text Char"/>
    <w:basedOn w:val="DefaultParagraphFont"/>
    <w:link w:val="FootnoteText"/>
    <w:uiPriority w:val="99"/>
    <w:semiHidden/>
    <w:rsid w:val="008742FF"/>
    <w:rPr>
      <w:sz w:val="20"/>
      <w:szCs w:val="20"/>
      <w:lang w:eastAsia="en-US"/>
    </w:rPr>
  </w:style>
  <w:style w:type="paragraph" w:styleId="BodyTextIndent2">
    <w:name w:val="Body Text Indent 2"/>
    <w:basedOn w:val="Normal"/>
    <w:link w:val="BodyTextIndent2Char"/>
    <w:uiPriority w:val="99"/>
    <w:rsid w:val="00FE7DE7"/>
    <w:pPr>
      <w:ind w:left="-142" w:firstLine="862"/>
      <w:jc w:val="both"/>
    </w:pPr>
    <w:rPr>
      <w:rFonts w:ascii="Arial" w:hAnsi="Arial" w:cs="Arial"/>
      <w:sz w:val="26"/>
      <w:szCs w:val="26"/>
    </w:rPr>
  </w:style>
  <w:style w:type="character" w:customStyle="1" w:styleId="BodyTextIndent2Char">
    <w:name w:val="Body Text Indent 2 Char"/>
    <w:basedOn w:val="DefaultParagraphFont"/>
    <w:link w:val="BodyTextIndent2"/>
    <w:uiPriority w:val="99"/>
    <w:semiHidden/>
    <w:rsid w:val="008742FF"/>
    <w:rPr>
      <w:sz w:val="24"/>
      <w:szCs w:val="24"/>
      <w:lang w:eastAsia="en-US"/>
    </w:rPr>
  </w:style>
  <w:style w:type="paragraph" w:styleId="BalloonText">
    <w:name w:val="Balloon Text"/>
    <w:basedOn w:val="Normal"/>
    <w:link w:val="BalloonTextChar"/>
    <w:uiPriority w:val="99"/>
    <w:semiHidden/>
    <w:rsid w:val="00BF38CA"/>
    <w:rPr>
      <w:rFonts w:ascii="Tahoma" w:hAnsi="Tahoma"/>
      <w:sz w:val="16"/>
      <w:szCs w:val="16"/>
    </w:rPr>
  </w:style>
  <w:style w:type="character" w:customStyle="1" w:styleId="BalloonTextChar">
    <w:name w:val="Balloon Text Char"/>
    <w:basedOn w:val="DefaultParagraphFont"/>
    <w:link w:val="BalloonText"/>
    <w:uiPriority w:val="99"/>
    <w:semiHidden/>
    <w:rsid w:val="008742FF"/>
    <w:rPr>
      <w:sz w:val="0"/>
      <w:szCs w:val="0"/>
      <w:lang w:eastAsia="en-US"/>
    </w:rPr>
  </w:style>
  <w:style w:type="table" w:styleId="TableGrid">
    <w:name w:val="Table Grid"/>
    <w:basedOn w:val="TableNormal"/>
    <w:uiPriority w:val="99"/>
    <w:rsid w:val="00E408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771F"/>
    <w:rPr>
      <w:rFonts w:cs="Times New Roman"/>
      <w:sz w:val="16"/>
      <w:szCs w:val="16"/>
    </w:rPr>
  </w:style>
  <w:style w:type="paragraph" w:styleId="CommentText">
    <w:name w:val="annotation text"/>
    <w:basedOn w:val="Normal"/>
    <w:link w:val="CommentTextChar"/>
    <w:uiPriority w:val="99"/>
    <w:semiHidden/>
    <w:rsid w:val="0081771F"/>
    <w:rPr>
      <w:sz w:val="20"/>
      <w:szCs w:val="20"/>
    </w:rPr>
  </w:style>
  <w:style w:type="character" w:customStyle="1" w:styleId="CommentTextChar">
    <w:name w:val="Comment Text Char"/>
    <w:basedOn w:val="DefaultParagraphFont"/>
    <w:link w:val="CommentText"/>
    <w:uiPriority w:val="99"/>
    <w:semiHidden/>
    <w:rsid w:val="008742FF"/>
    <w:rPr>
      <w:sz w:val="20"/>
      <w:szCs w:val="20"/>
      <w:lang w:eastAsia="en-US"/>
    </w:rPr>
  </w:style>
  <w:style w:type="paragraph" w:styleId="CommentSubject">
    <w:name w:val="annotation subject"/>
    <w:basedOn w:val="CommentText"/>
    <w:next w:val="CommentText"/>
    <w:link w:val="CommentSubjectChar"/>
    <w:uiPriority w:val="99"/>
    <w:semiHidden/>
    <w:rsid w:val="0081771F"/>
    <w:rPr>
      <w:b/>
      <w:bCs/>
    </w:rPr>
  </w:style>
  <w:style w:type="character" w:customStyle="1" w:styleId="CommentSubjectChar">
    <w:name w:val="Comment Subject Char"/>
    <w:basedOn w:val="CommentTextChar"/>
    <w:link w:val="CommentSubject"/>
    <w:uiPriority w:val="99"/>
    <w:semiHidden/>
    <w:rsid w:val="008742FF"/>
    <w:rPr>
      <w:b/>
      <w:bCs/>
      <w:sz w:val="20"/>
      <w:szCs w:val="20"/>
      <w:lang w:eastAsia="en-US"/>
    </w:rPr>
  </w:style>
  <w:style w:type="table" w:customStyle="1" w:styleId="LightShading-Accent11">
    <w:name w:val="Light Shading - Accent 11"/>
    <w:uiPriority w:val="99"/>
    <w:rsid w:val="0033756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1-Accent1">
    <w:name w:val="Medium Grid 1 Accent 1"/>
    <w:basedOn w:val="TableNormal"/>
    <w:uiPriority w:val="99"/>
    <w:rsid w:val="0033756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DocumentMap">
    <w:name w:val="Document Map"/>
    <w:basedOn w:val="Normal"/>
    <w:link w:val="DocumentMapChar"/>
    <w:uiPriority w:val="99"/>
    <w:semiHidden/>
    <w:unhideWhenUsed/>
    <w:rsid w:val="00C77657"/>
    <w:rPr>
      <w:rFonts w:ascii="Tahoma" w:hAnsi="Tahoma" w:cs="Tahoma"/>
      <w:sz w:val="16"/>
      <w:szCs w:val="16"/>
    </w:rPr>
  </w:style>
  <w:style w:type="character" w:customStyle="1" w:styleId="DocumentMapChar">
    <w:name w:val="Document Map Char"/>
    <w:basedOn w:val="DefaultParagraphFont"/>
    <w:link w:val="DocumentMap"/>
    <w:uiPriority w:val="99"/>
    <w:semiHidden/>
    <w:rsid w:val="00C77657"/>
    <w:rPr>
      <w:rFonts w:ascii="Tahoma" w:hAnsi="Tahoma" w:cs="Tahoma"/>
      <w:sz w:val="16"/>
      <w:szCs w:val="16"/>
      <w:lang w:eastAsia="en-US"/>
    </w:rPr>
  </w:style>
  <w:style w:type="paragraph" w:styleId="ListParagraph">
    <w:name w:val="List Paragraph"/>
    <w:basedOn w:val="Normal"/>
    <w:uiPriority w:val="34"/>
    <w:qFormat/>
    <w:rsid w:val="00600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E7"/>
    <w:rPr>
      <w:sz w:val="24"/>
      <w:szCs w:val="24"/>
      <w:lang w:eastAsia="en-US"/>
    </w:rPr>
  </w:style>
  <w:style w:type="paragraph" w:styleId="Heading1">
    <w:name w:val="heading 1"/>
    <w:basedOn w:val="Normal"/>
    <w:next w:val="Normal"/>
    <w:link w:val="Heading1Char"/>
    <w:uiPriority w:val="99"/>
    <w:qFormat/>
    <w:rsid w:val="00FE7DE7"/>
    <w:pPr>
      <w:keepNext/>
      <w:ind w:left="1440"/>
      <w:outlineLvl w:val="0"/>
    </w:pPr>
    <w:rPr>
      <w:b/>
      <w:bCs/>
      <w:sz w:val="44"/>
      <w:szCs w:val="44"/>
    </w:rPr>
  </w:style>
  <w:style w:type="paragraph" w:styleId="Heading2">
    <w:name w:val="heading 2"/>
    <w:basedOn w:val="Normal"/>
    <w:next w:val="Normal"/>
    <w:link w:val="Heading2Char"/>
    <w:uiPriority w:val="99"/>
    <w:qFormat/>
    <w:rsid w:val="00FE7DE7"/>
    <w:pPr>
      <w:keepNext/>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7DE7"/>
    <w:pPr>
      <w:keepNext/>
      <w:outlineLvl w:val="2"/>
    </w:pPr>
    <w:rPr>
      <w:b/>
      <w:bCs/>
    </w:rPr>
  </w:style>
  <w:style w:type="paragraph" w:styleId="Heading4">
    <w:name w:val="heading 4"/>
    <w:basedOn w:val="Normal"/>
    <w:next w:val="Normal"/>
    <w:link w:val="Heading4Char"/>
    <w:uiPriority w:val="99"/>
    <w:qFormat/>
    <w:rsid w:val="00FE7DE7"/>
    <w:pPr>
      <w:keepNext/>
      <w:tabs>
        <w:tab w:val="left" w:pos="7085"/>
        <w:tab w:val="left" w:pos="14170"/>
      </w:tabs>
      <w:jc w:val="center"/>
      <w:outlineLvl w:val="3"/>
    </w:pPr>
    <w:rPr>
      <w:rFonts w:ascii="Arial" w:hAnsi="Arial" w:cs="Arial"/>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F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742F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742F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742FF"/>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rsid w:val="00FE7DE7"/>
    <w:pPr>
      <w:tabs>
        <w:tab w:val="center" w:pos="4153"/>
        <w:tab w:val="right" w:pos="8306"/>
      </w:tabs>
    </w:pPr>
    <w:rPr>
      <w:sz w:val="20"/>
      <w:szCs w:val="20"/>
      <w:lang w:val="en-AU"/>
    </w:rPr>
  </w:style>
  <w:style w:type="character" w:customStyle="1" w:styleId="FooterChar">
    <w:name w:val="Footer Char"/>
    <w:basedOn w:val="DefaultParagraphFont"/>
    <w:link w:val="Footer"/>
    <w:uiPriority w:val="99"/>
    <w:semiHidden/>
    <w:rsid w:val="008742FF"/>
    <w:rPr>
      <w:sz w:val="24"/>
      <w:szCs w:val="24"/>
      <w:lang w:eastAsia="en-US"/>
    </w:rPr>
  </w:style>
  <w:style w:type="character" w:styleId="PageNumber">
    <w:name w:val="page number"/>
    <w:basedOn w:val="DefaultParagraphFont"/>
    <w:uiPriority w:val="99"/>
    <w:rsid w:val="00FE7DE7"/>
    <w:rPr>
      <w:rFonts w:cs="Times New Roman"/>
    </w:rPr>
  </w:style>
  <w:style w:type="character" w:styleId="Hyperlink">
    <w:name w:val="Hyperlink"/>
    <w:basedOn w:val="DefaultParagraphFont"/>
    <w:uiPriority w:val="99"/>
    <w:rsid w:val="00FE7DE7"/>
    <w:rPr>
      <w:rFonts w:cs="Times New Roman"/>
      <w:color w:val="0000FF"/>
      <w:u w:val="single"/>
    </w:rPr>
  </w:style>
  <w:style w:type="paragraph" w:styleId="BodyText3">
    <w:name w:val="Body Text 3"/>
    <w:basedOn w:val="Normal"/>
    <w:link w:val="BodyText3Char"/>
    <w:uiPriority w:val="99"/>
    <w:rsid w:val="00FE7DE7"/>
  </w:style>
  <w:style w:type="character" w:customStyle="1" w:styleId="BodyText3Char">
    <w:name w:val="Body Text 3 Char"/>
    <w:basedOn w:val="DefaultParagraphFont"/>
    <w:link w:val="BodyText3"/>
    <w:uiPriority w:val="99"/>
    <w:semiHidden/>
    <w:rsid w:val="008742FF"/>
    <w:rPr>
      <w:sz w:val="16"/>
      <w:szCs w:val="16"/>
      <w:lang w:eastAsia="en-US"/>
    </w:rPr>
  </w:style>
  <w:style w:type="paragraph" w:styleId="BodyText2">
    <w:name w:val="Body Text 2"/>
    <w:basedOn w:val="Normal"/>
    <w:link w:val="BodyText2Char"/>
    <w:uiPriority w:val="99"/>
    <w:rsid w:val="00FE7DE7"/>
    <w:pPr>
      <w:ind w:firstLine="720"/>
      <w:jc w:val="both"/>
    </w:pPr>
  </w:style>
  <w:style w:type="character" w:customStyle="1" w:styleId="BodyText2Char">
    <w:name w:val="Body Text 2 Char"/>
    <w:basedOn w:val="DefaultParagraphFont"/>
    <w:link w:val="BodyText2"/>
    <w:uiPriority w:val="99"/>
    <w:semiHidden/>
    <w:rsid w:val="008742FF"/>
    <w:rPr>
      <w:sz w:val="24"/>
      <w:szCs w:val="24"/>
      <w:lang w:eastAsia="en-US"/>
    </w:rPr>
  </w:style>
  <w:style w:type="paragraph" w:styleId="Header">
    <w:name w:val="header"/>
    <w:basedOn w:val="Normal"/>
    <w:link w:val="HeaderChar"/>
    <w:uiPriority w:val="99"/>
    <w:rsid w:val="00FE7DE7"/>
    <w:pPr>
      <w:tabs>
        <w:tab w:val="center" w:pos="4153"/>
        <w:tab w:val="right" w:pos="8306"/>
      </w:tabs>
    </w:pPr>
  </w:style>
  <w:style w:type="character" w:customStyle="1" w:styleId="HeaderChar">
    <w:name w:val="Header Char"/>
    <w:basedOn w:val="DefaultParagraphFont"/>
    <w:link w:val="Header"/>
    <w:uiPriority w:val="99"/>
    <w:semiHidden/>
    <w:rsid w:val="008742FF"/>
    <w:rPr>
      <w:sz w:val="24"/>
      <w:szCs w:val="24"/>
      <w:lang w:eastAsia="en-US"/>
    </w:rPr>
  </w:style>
  <w:style w:type="paragraph" w:styleId="BodyText">
    <w:name w:val="Body Text"/>
    <w:basedOn w:val="Normal"/>
    <w:link w:val="BodyTextChar"/>
    <w:uiPriority w:val="99"/>
    <w:rsid w:val="00FE7DE7"/>
    <w:pPr>
      <w:jc w:val="center"/>
    </w:pPr>
    <w:rPr>
      <w:rFonts w:ascii="Arial" w:hAnsi="Arial" w:cs="Arial"/>
      <w:b/>
      <w:bCs/>
      <w:sz w:val="28"/>
      <w:szCs w:val="28"/>
    </w:rPr>
  </w:style>
  <w:style w:type="character" w:customStyle="1" w:styleId="BodyTextChar">
    <w:name w:val="Body Text Char"/>
    <w:basedOn w:val="DefaultParagraphFont"/>
    <w:link w:val="BodyText"/>
    <w:uiPriority w:val="99"/>
    <w:semiHidden/>
    <w:rsid w:val="008742FF"/>
    <w:rPr>
      <w:sz w:val="24"/>
      <w:szCs w:val="24"/>
      <w:lang w:eastAsia="en-US"/>
    </w:rPr>
  </w:style>
  <w:style w:type="character" w:styleId="FootnoteReference">
    <w:name w:val="footnote reference"/>
    <w:basedOn w:val="DefaultParagraphFont"/>
    <w:uiPriority w:val="99"/>
    <w:semiHidden/>
    <w:rsid w:val="00FE7DE7"/>
    <w:rPr>
      <w:rFonts w:cs="Times New Roman"/>
      <w:vertAlign w:val="superscript"/>
    </w:rPr>
  </w:style>
  <w:style w:type="paragraph" w:styleId="FootnoteText">
    <w:name w:val="footnote text"/>
    <w:basedOn w:val="Normal"/>
    <w:link w:val="FootnoteTextChar"/>
    <w:uiPriority w:val="99"/>
    <w:semiHidden/>
    <w:rsid w:val="00FE7DE7"/>
    <w:rPr>
      <w:sz w:val="20"/>
      <w:szCs w:val="20"/>
      <w:lang w:val="en-US"/>
    </w:rPr>
  </w:style>
  <w:style w:type="character" w:customStyle="1" w:styleId="FootnoteTextChar">
    <w:name w:val="Footnote Text Char"/>
    <w:basedOn w:val="DefaultParagraphFont"/>
    <w:link w:val="FootnoteText"/>
    <w:uiPriority w:val="99"/>
    <w:semiHidden/>
    <w:rsid w:val="008742FF"/>
    <w:rPr>
      <w:sz w:val="20"/>
      <w:szCs w:val="20"/>
      <w:lang w:eastAsia="en-US"/>
    </w:rPr>
  </w:style>
  <w:style w:type="paragraph" w:styleId="BodyTextIndent2">
    <w:name w:val="Body Text Indent 2"/>
    <w:basedOn w:val="Normal"/>
    <w:link w:val="BodyTextIndent2Char"/>
    <w:uiPriority w:val="99"/>
    <w:rsid w:val="00FE7DE7"/>
    <w:pPr>
      <w:ind w:left="-142" w:firstLine="862"/>
      <w:jc w:val="both"/>
    </w:pPr>
    <w:rPr>
      <w:rFonts w:ascii="Arial" w:hAnsi="Arial" w:cs="Arial"/>
      <w:sz w:val="26"/>
      <w:szCs w:val="26"/>
    </w:rPr>
  </w:style>
  <w:style w:type="character" w:customStyle="1" w:styleId="BodyTextIndent2Char">
    <w:name w:val="Body Text Indent 2 Char"/>
    <w:basedOn w:val="DefaultParagraphFont"/>
    <w:link w:val="BodyTextIndent2"/>
    <w:uiPriority w:val="99"/>
    <w:semiHidden/>
    <w:rsid w:val="008742FF"/>
    <w:rPr>
      <w:sz w:val="24"/>
      <w:szCs w:val="24"/>
      <w:lang w:eastAsia="en-US"/>
    </w:rPr>
  </w:style>
  <w:style w:type="paragraph" w:styleId="BalloonText">
    <w:name w:val="Balloon Text"/>
    <w:basedOn w:val="Normal"/>
    <w:link w:val="BalloonTextChar"/>
    <w:uiPriority w:val="99"/>
    <w:semiHidden/>
    <w:rsid w:val="00BF38CA"/>
    <w:rPr>
      <w:rFonts w:ascii="Tahoma" w:hAnsi="Tahoma"/>
      <w:sz w:val="16"/>
      <w:szCs w:val="16"/>
    </w:rPr>
  </w:style>
  <w:style w:type="character" w:customStyle="1" w:styleId="BalloonTextChar">
    <w:name w:val="Balloon Text Char"/>
    <w:basedOn w:val="DefaultParagraphFont"/>
    <w:link w:val="BalloonText"/>
    <w:uiPriority w:val="99"/>
    <w:semiHidden/>
    <w:rsid w:val="008742FF"/>
    <w:rPr>
      <w:sz w:val="0"/>
      <w:szCs w:val="0"/>
      <w:lang w:eastAsia="en-US"/>
    </w:rPr>
  </w:style>
  <w:style w:type="table" w:styleId="TableGrid">
    <w:name w:val="Table Grid"/>
    <w:basedOn w:val="TableNormal"/>
    <w:uiPriority w:val="99"/>
    <w:rsid w:val="00E408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771F"/>
    <w:rPr>
      <w:rFonts w:cs="Times New Roman"/>
      <w:sz w:val="16"/>
      <w:szCs w:val="16"/>
    </w:rPr>
  </w:style>
  <w:style w:type="paragraph" w:styleId="CommentText">
    <w:name w:val="annotation text"/>
    <w:basedOn w:val="Normal"/>
    <w:link w:val="CommentTextChar"/>
    <w:uiPriority w:val="99"/>
    <w:semiHidden/>
    <w:rsid w:val="0081771F"/>
    <w:rPr>
      <w:sz w:val="20"/>
      <w:szCs w:val="20"/>
    </w:rPr>
  </w:style>
  <w:style w:type="character" w:customStyle="1" w:styleId="CommentTextChar">
    <w:name w:val="Comment Text Char"/>
    <w:basedOn w:val="DefaultParagraphFont"/>
    <w:link w:val="CommentText"/>
    <w:uiPriority w:val="99"/>
    <w:semiHidden/>
    <w:rsid w:val="008742FF"/>
    <w:rPr>
      <w:sz w:val="20"/>
      <w:szCs w:val="20"/>
      <w:lang w:eastAsia="en-US"/>
    </w:rPr>
  </w:style>
  <w:style w:type="paragraph" w:styleId="CommentSubject">
    <w:name w:val="annotation subject"/>
    <w:basedOn w:val="CommentText"/>
    <w:next w:val="CommentText"/>
    <w:link w:val="CommentSubjectChar"/>
    <w:uiPriority w:val="99"/>
    <w:semiHidden/>
    <w:rsid w:val="0081771F"/>
    <w:rPr>
      <w:b/>
      <w:bCs/>
    </w:rPr>
  </w:style>
  <w:style w:type="character" w:customStyle="1" w:styleId="CommentSubjectChar">
    <w:name w:val="Comment Subject Char"/>
    <w:basedOn w:val="CommentTextChar"/>
    <w:link w:val="CommentSubject"/>
    <w:uiPriority w:val="99"/>
    <w:semiHidden/>
    <w:rsid w:val="008742FF"/>
    <w:rPr>
      <w:b/>
      <w:bCs/>
      <w:sz w:val="20"/>
      <w:szCs w:val="20"/>
      <w:lang w:eastAsia="en-US"/>
    </w:rPr>
  </w:style>
  <w:style w:type="table" w:customStyle="1" w:styleId="LightShading-Accent11">
    <w:name w:val="Light Shading - Accent 11"/>
    <w:uiPriority w:val="99"/>
    <w:rsid w:val="0033756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1-Accent1">
    <w:name w:val="Medium Grid 1 Accent 1"/>
    <w:basedOn w:val="TableNormal"/>
    <w:uiPriority w:val="99"/>
    <w:rsid w:val="0033756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DocumentMap">
    <w:name w:val="Document Map"/>
    <w:basedOn w:val="Normal"/>
    <w:link w:val="DocumentMapChar"/>
    <w:uiPriority w:val="99"/>
    <w:semiHidden/>
    <w:unhideWhenUsed/>
    <w:rsid w:val="00C77657"/>
    <w:rPr>
      <w:rFonts w:ascii="Tahoma" w:hAnsi="Tahoma" w:cs="Tahoma"/>
      <w:sz w:val="16"/>
      <w:szCs w:val="16"/>
    </w:rPr>
  </w:style>
  <w:style w:type="character" w:customStyle="1" w:styleId="DocumentMapChar">
    <w:name w:val="Document Map Char"/>
    <w:basedOn w:val="DefaultParagraphFont"/>
    <w:link w:val="DocumentMap"/>
    <w:uiPriority w:val="99"/>
    <w:semiHidden/>
    <w:rsid w:val="00C77657"/>
    <w:rPr>
      <w:rFonts w:ascii="Tahoma" w:hAnsi="Tahoma" w:cs="Tahoma"/>
      <w:sz w:val="16"/>
      <w:szCs w:val="16"/>
      <w:lang w:eastAsia="en-US"/>
    </w:rPr>
  </w:style>
  <w:style w:type="paragraph" w:styleId="ListParagraph">
    <w:name w:val="List Paragraph"/>
    <w:basedOn w:val="Normal"/>
    <w:uiPriority w:val="34"/>
    <w:qFormat/>
    <w:rsid w:val="0060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922">
      <w:bodyDiv w:val="1"/>
      <w:marLeft w:val="0"/>
      <w:marRight w:val="0"/>
      <w:marTop w:val="0"/>
      <w:marBottom w:val="0"/>
      <w:divBdr>
        <w:top w:val="none" w:sz="0" w:space="0" w:color="auto"/>
        <w:left w:val="none" w:sz="0" w:space="0" w:color="auto"/>
        <w:bottom w:val="none" w:sz="0" w:space="0" w:color="auto"/>
        <w:right w:val="none" w:sz="0" w:space="0" w:color="auto"/>
      </w:divBdr>
    </w:div>
    <w:div w:id="337776697">
      <w:bodyDiv w:val="1"/>
      <w:marLeft w:val="0"/>
      <w:marRight w:val="0"/>
      <w:marTop w:val="0"/>
      <w:marBottom w:val="0"/>
      <w:divBdr>
        <w:top w:val="none" w:sz="0" w:space="0" w:color="auto"/>
        <w:left w:val="none" w:sz="0" w:space="0" w:color="auto"/>
        <w:bottom w:val="none" w:sz="0" w:space="0" w:color="auto"/>
        <w:right w:val="none" w:sz="0" w:space="0" w:color="auto"/>
      </w:divBdr>
    </w:div>
    <w:div w:id="728841786">
      <w:bodyDiv w:val="1"/>
      <w:marLeft w:val="0"/>
      <w:marRight w:val="0"/>
      <w:marTop w:val="0"/>
      <w:marBottom w:val="0"/>
      <w:divBdr>
        <w:top w:val="none" w:sz="0" w:space="0" w:color="auto"/>
        <w:left w:val="none" w:sz="0" w:space="0" w:color="auto"/>
        <w:bottom w:val="none" w:sz="0" w:space="0" w:color="auto"/>
        <w:right w:val="none" w:sz="0" w:space="0" w:color="auto"/>
      </w:divBdr>
    </w:div>
    <w:div w:id="803933767">
      <w:bodyDiv w:val="1"/>
      <w:marLeft w:val="0"/>
      <w:marRight w:val="0"/>
      <w:marTop w:val="0"/>
      <w:marBottom w:val="0"/>
      <w:divBdr>
        <w:top w:val="none" w:sz="0" w:space="0" w:color="auto"/>
        <w:left w:val="none" w:sz="0" w:space="0" w:color="auto"/>
        <w:bottom w:val="none" w:sz="0" w:space="0" w:color="auto"/>
        <w:right w:val="none" w:sz="0" w:space="0" w:color="auto"/>
      </w:divBdr>
    </w:div>
    <w:div w:id="1152335379">
      <w:bodyDiv w:val="1"/>
      <w:marLeft w:val="0"/>
      <w:marRight w:val="0"/>
      <w:marTop w:val="0"/>
      <w:marBottom w:val="0"/>
      <w:divBdr>
        <w:top w:val="none" w:sz="0" w:space="0" w:color="auto"/>
        <w:left w:val="none" w:sz="0" w:space="0" w:color="auto"/>
        <w:bottom w:val="none" w:sz="0" w:space="0" w:color="auto"/>
        <w:right w:val="none" w:sz="0" w:space="0" w:color="auto"/>
      </w:divBdr>
    </w:div>
    <w:div w:id="1335259909">
      <w:bodyDiv w:val="1"/>
      <w:marLeft w:val="0"/>
      <w:marRight w:val="0"/>
      <w:marTop w:val="0"/>
      <w:marBottom w:val="0"/>
      <w:divBdr>
        <w:top w:val="none" w:sz="0" w:space="0" w:color="auto"/>
        <w:left w:val="none" w:sz="0" w:space="0" w:color="auto"/>
        <w:bottom w:val="none" w:sz="0" w:space="0" w:color="auto"/>
        <w:right w:val="none" w:sz="0" w:space="0" w:color="auto"/>
      </w:divBdr>
    </w:div>
    <w:div w:id="1667245359">
      <w:bodyDiv w:val="1"/>
      <w:marLeft w:val="0"/>
      <w:marRight w:val="0"/>
      <w:marTop w:val="0"/>
      <w:marBottom w:val="0"/>
      <w:divBdr>
        <w:top w:val="none" w:sz="0" w:space="0" w:color="auto"/>
        <w:left w:val="none" w:sz="0" w:space="0" w:color="auto"/>
        <w:bottom w:val="none" w:sz="0" w:space="0" w:color="auto"/>
        <w:right w:val="none" w:sz="0" w:space="0" w:color="auto"/>
      </w:divBdr>
    </w:div>
    <w:div w:id="1746687656">
      <w:bodyDiv w:val="1"/>
      <w:marLeft w:val="0"/>
      <w:marRight w:val="0"/>
      <w:marTop w:val="0"/>
      <w:marBottom w:val="0"/>
      <w:divBdr>
        <w:top w:val="none" w:sz="0" w:space="0" w:color="auto"/>
        <w:left w:val="none" w:sz="0" w:space="0" w:color="auto"/>
        <w:bottom w:val="none" w:sz="0" w:space="0" w:color="auto"/>
        <w:right w:val="none" w:sz="0" w:space="0" w:color="auto"/>
      </w:divBdr>
    </w:div>
    <w:div w:id="1791896368">
      <w:marLeft w:val="0"/>
      <w:marRight w:val="0"/>
      <w:marTop w:val="0"/>
      <w:marBottom w:val="0"/>
      <w:divBdr>
        <w:top w:val="none" w:sz="0" w:space="0" w:color="auto"/>
        <w:left w:val="none" w:sz="0" w:space="0" w:color="auto"/>
        <w:bottom w:val="none" w:sz="0" w:space="0" w:color="auto"/>
        <w:right w:val="none" w:sz="0" w:space="0" w:color="auto"/>
      </w:divBdr>
    </w:div>
    <w:div w:id="1791896369">
      <w:marLeft w:val="0"/>
      <w:marRight w:val="0"/>
      <w:marTop w:val="0"/>
      <w:marBottom w:val="0"/>
      <w:divBdr>
        <w:top w:val="none" w:sz="0" w:space="0" w:color="auto"/>
        <w:left w:val="none" w:sz="0" w:space="0" w:color="auto"/>
        <w:bottom w:val="none" w:sz="0" w:space="0" w:color="auto"/>
        <w:right w:val="none" w:sz="0" w:space="0" w:color="auto"/>
      </w:divBdr>
    </w:div>
    <w:div w:id="1791896370">
      <w:marLeft w:val="0"/>
      <w:marRight w:val="0"/>
      <w:marTop w:val="0"/>
      <w:marBottom w:val="0"/>
      <w:divBdr>
        <w:top w:val="none" w:sz="0" w:space="0" w:color="auto"/>
        <w:left w:val="none" w:sz="0" w:space="0" w:color="auto"/>
        <w:bottom w:val="none" w:sz="0" w:space="0" w:color="auto"/>
        <w:right w:val="none" w:sz="0" w:space="0" w:color="auto"/>
      </w:divBdr>
    </w:div>
    <w:div w:id="1988394029">
      <w:bodyDiv w:val="1"/>
      <w:marLeft w:val="0"/>
      <w:marRight w:val="0"/>
      <w:marTop w:val="0"/>
      <w:marBottom w:val="0"/>
      <w:divBdr>
        <w:top w:val="none" w:sz="0" w:space="0" w:color="auto"/>
        <w:left w:val="none" w:sz="0" w:space="0" w:color="auto"/>
        <w:bottom w:val="none" w:sz="0" w:space="0" w:color="auto"/>
        <w:right w:val="none" w:sz="0" w:space="0" w:color="auto"/>
      </w:divBdr>
    </w:div>
    <w:div w:id="2089694134">
      <w:bodyDiv w:val="1"/>
      <w:marLeft w:val="0"/>
      <w:marRight w:val="0"/>
      <w:marTop w:val="0"/>
      <w:marBottom w:val="0"/>
      <w:divBdr>
        <w:top w:val="none" w:sz="0" w:space="0" w:color="auto"/>
        <w:left w:val="none" w:sz="0" w:space="0" w:color="auto"/>
        <w:bottom w:val="none" w:sz="0" w:space="0" w:color="auto"/>
        <w:right w:val="none" w:sz="0" w:space="0" w:color="auto"/>
      </w:divBdr>
    </w:div>
    <w:div w:id="21108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bia-bg.com/news/14588"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alashka\Dropbox\BIA\EVENTS\presskonferencii\zadlajnjalost2011-070113\&#1079;&#1072;&#1076;&#1083;&#1098;&#1078;&#1085;&#1103;&#1083;&#1086;&#1089;&#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bg-BG" sz="1200"/>
              <a:t>Темп</a:t>
            </a:r>
            <a:r>
              <a:rPr lang="bg-BG" sz="1200" baseline="0"/>
              <a:t> на нарастване на задълженията и на БВП</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Sheet1!$A$103</c:f>
              <c:strCache>
                <c:ptCount val="1"/>
                <c:pt idx="0">
                  <c:v>Задължения</c:v>
                </c:pt>
              </c:strCache>
            </c:strRef>
          </c:tx>
          <c:invertIfNegative val="0"/>
          <c:cat>
            <c:numRef>
              <c:f>Sheet1!$B$102:$E$102</c:f>
              <c:numCache>
                <c:formatCode>General</c:formatCode>
                <c:ptCount val="4"/>
                <c:pt idx="0">
                  <c:v>2006</c:v>
                </c:pt>
                <c:pt idx="1">
                  <c:v>2009</c:v>
                </c:pt>
                <c:pt idx="2">
                  <c:v>2010</c:v>
                </c:pt>
                <c:pt idx="3">
                  <c:v>2011</c:v>
                </c:pt>
              </c:numCache>
            </c:numRef>
          </c:cat>
          <c:val>
            <c:numRef>
              <c:f>Sheet1!$B$103:$E$103</c:f>
              <c:numCache>
                <c:formatCode>0.0</c:formatCode>
                <c:ptCount val="4"/>
                <c:pt idx="0">
                  <c:v>20.9</c:v>
                </c:pt>
                <c:pt idx="1">
                  <c:v>6</c:v>
                </c:pt>
                <c:pt idx="2">
                  <c:v>0.8</c:v>
                </c:pt>
                <c:pt idx="3">
                  <c:v>3.3</c:v>
                </c:pt>
              </c:numCache>
            </c:numRef>
          </c:val>
        </c:ser>
        <c:ser>
          <c:idx val="1"/>
          <c:order val="1"/>
          <c:tx>
            <c:strRef>
              <c:f>Sheet1!$A$104</c:f>
              <c:strCache>
                <c:ptCount val="1"/>
                <c:pt idx="0">
                  <c:v>БВП (съпост.цени, предх.г.)</c:v>
                </c:pt>
              </c:strCache>
            </c:strRef>
          </c:tx>
          <c:invertIfNegative val="0"/>
          <c:dLbls>
            <c:dLbl>
              <c:idx val="1"/>
              <c:layout>
                <c:manualLayout>
                  <c:x val="0"/>
                  <c:y val="-3.30574174096006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Sheet1!$B$102:$E$102</c:f>
              <c:numCache>
                <c:formatCode>General</c:formatCode>
                <c:ptCount val="4"/>
                <c:pt idx="0">
                  <c:v>2006</c:v>
                </c:pt>
                <c:pt idx="1">
                  <c:v>2009</c:v>
                </c:pt>
                <c:pt idx="2">
                  <c:v>2010</c:v>
                </c:pt>
                <c:pt idx="3">
                  <c:v>2011</c:v>
                </c:pt>
              </c:numCache>
            </c:numRef>
          </c:cat>
          <c:val>
            <c:numRef>
              <c:f>Sheet1!$B$104:$E$104</c:f>
              <c:numCache>
                <c:formatCode>General</c:formatCode>
                <c:ptCount val="4"/>
                <c:pt idx="0">
                  <c:v>6.5</c:v>
                </c:pt>
                <c:pt idx="1">
                  <c:v>-5.5</c:v>
                </c:pt>
                <c:pt idx="2">
                  <c:v>0.4</c:v>
                </c:pt>
                <c:pt idx="3">
                  <c:v>1.7</c:v>
                </c:pt>
              </c:numCache>
            </c:numRef>
          </c:val>
        </c:ser>
        <c:dLbls>
          <c:showLegendKey val="0"/>
          <c:showVal val="1"/>
          <c:showCatName val="0"/>
          <c:showSerName val="0"/>
          <c:showPercent val="0"/>
          <c:showBubbleSize val="0"/>
        </c:dLbls>
        <c:gapWidth val="150"/>
        <c:shape val="cylinder"/>
        <c:axId val="149083648"/>
        <c:axId val="149085184"/>
        <c:axId val="0"/>
      </c:bar3DChart>
      <c:catAx>
        <c:axId val="149083648"/>
        <c:scaling>
          <c:orientation val="minMax"/>
        </c:scaling>
        <c:delete val="0"/>
        <c:axPos val="b"/>
        <c:numFmt formatCode="General" sourceLinked="1"/>
        <c:majorTickMark val="none"/>
        <c:minorTickMark val="none"/>
        <c:tickLblPos val="nextTo"/>
        <c:txPr>
          <a:bodyPr/>
          <a:lstStyle/>
          <a:p>
            <a:pPr>
              <a:defRPr b="1"/>
            </a:pPr>
            <a:endParaRPr lang="bg-BG"/>
          </a:p>
        </c:txPr>
        <c:crossAx val="149085184"/>
        <c:crosses val="autoZero"/>
        <c:auto val="1"/>
        <c:lblAlgn val="ctr"/>
        <c:lblOffset val="100"/>
        <c:noMultiLvlLbl val="0"/>
      </c:catAx>
      <c:valAx>
        <c:axId val="149085184"/>
        <c:scaling>
          <c:orientation val="minMax"/>
        </c:scaling>
        <c:delete val="1"/>
        <c:axPos val="l"/>
        <c:numFmt formatCode="0.0" sourceLinked="1"/>
        <c:majorTickMark val="out"/>
        <c:minorTickMark val="none"/>
        <c:tickLblPos val="nextTo"/>
        <c:crossAx val="149083648"/>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FINAL!$B$105</c:f>
              <c:strCache>
                <c:ptCount val="1"/>
                <c:pt idx="0">
                  <c:v>2010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cat>
            <c:strRef>
              <c:f>FINAL!$A$106:$A$108</c:f>
              <c:strCache>
                <c:ptCount val="3"/>
                <c:pt idx="0">
                  <c:v>Междуфирмени</c:v>
                </c:pt>
                <c:pt idx="1">
                  <c:v>Нетни</c:v>
                </c:pt>
                <c:pt idx="2">
                  <c:v>Данъчни и осигурителни</c:v>
                </c:pt>
              </c:strCache>
            </c:strRef>
          </c:cat>
          <c:val>
            <c:numRef>
              <c:f>FINAL!$B$106:$B$108</c:f>
              <c:numCache>
                <c:formatCode>0.000</c:formatCode>
                <c:ptCount val="3"/>
                <c:pt idx="0">
                  <c:v>104.41799999999998</c:v>
                </c:pt>
                <c:pt idx="1">
                  <c:v>48.494000000000007</c:v>
                </c:pt>
                <c:pt idx="2">
                  <c:v>4.9749999999999996</c:v>
                </c:pt>
              </c:numCache>
            </c:numRef>
          </c:val>
        </c:ser>
        <c:ser>
          <c:idx val="1"/>
          <c:order val="1"/>
          <c:tx>
            <c:strRef>
              <c:f>FINAL!$C$105</c:f>
              <c:strCache>
                <c:ptCount val="1"/>
                <c:pt idx="0">
                  <c:v>2011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cat>
            <c:strRef>
              <c:f>FINAL!$A$106:$A$108</c:f>
              <c:strCache>
                <c:ptCount val="3"/>
                <c:pt idx="0">
                  <c:v>Междуфирмени</c:v>
                </c:pt>
                <c:pt idx="1">
                  <c:v>Нетни</c:v>
                </c:pt>
                <c:pt idx="2">
                  <c:v>Данъчни и осигурителни</c:v>
                </c:pt>
              </c:strCache>
            </c:strRef>
          </c:cat>
          <c:val>
            <c:numRef>
              <c:f>FINAL!$C$106:$C$108</c:f>
              <c:numCache>
                <c:formatCode>0.000</c:formatCode>
                <c:ptCount val="3"/>
                <c:pt idx="0">
                  <c:v>107.72400000000002</c:v>
                </c:pt>
                <c:pt idx="1">
                  <c:v>50.798000000000002</c:v>
                </c:pt>
                <c:pt idx="2">
                  <c:v>4.5569999999999995</c:v>
                </c:pt>
              </c:numCache>
            </c:numRef>
          </c:val>
        </c:ser>
        <c:dLbls>
          <c:showLegendKey val="0"/>
          <c:showVal val="0"/>
          <c:showCatName val="0"/>
          <c:showSerName val="0"/>
          <c:showPercent val="0"/>
          <c:showBubbleSize val="0"/>
        </c:dLbls>
        <c:gapWidth val="150"/>
        <c:axId val="149203584"/>
        <c:axId val="149209856"/>
      </c:barChart>
      <c:lineChart>
        <c:grouping val="standard"/>
        <c:varyColors val="0"/>
        <c:ser>
          <c:idx val="2"/>
          <c:order val="2"/>
          <c:tx>
            <c:strRef>
              <c:f>FINAL!$D$105</c:f>
              <c:strCache>
                <c:ptCount val="1"/>
                <c:pt idx="0">
                  <c:v>Темп %</c:v>
                </c:pt>
              </c:strCache>
            </c:strRef>
          </c:tx>
          <c:spPr>
            <a:ln w="2857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marker>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2857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marker>
          <c:cat>
            <c:strRef>
              <c:f>FINAL!$A$106:$A$108</c:f>
              <c:strCache>
                <c:ptCount val="3"/>
                <c:pt idx="0">
                  <c:v>Междуфирмени</c:v>
                </c:pt>
                <c:pt idx="1">
                  <c:v>Нетни</c:v>
                </c:pt>
                <c:pt idx="2">
                  <c:v>Данъчни и осигурителни</c:v>
                </c:pt>
              </c:strCache>
            </c:strRef>
          </c:cat>
          <c:val>
            <c:numRef>
              <c:f>FINAL!$D$106:$D$108</c:f>
              <c:numCache>
                <c:formatCode>0.0%</c:formatCode>
                <c:ptCount val="3"/>
                <c:pt idx="0">
                  <c:v>3.1661207837729514E-2</c:v>
                </c:pt>
                <c:pt idx="1">
                  <c:v>4.7511032292654652E-2</c:v>
                </c:pt>
                <c:pt idx="2">
                  <c:v>-8.4020100502512601E-2</c:v>
                </c:pt>
              </c:numCache>
            </c:numRef>
          </c:val>
          <c:smooth val="0"/>
        </c:ser>
        <c:dLbls>
          <c:showLegendKey val="0"/>
          <c:showVal val="0"/>
          <c:showCatName val="0"/>
          <c:showSerName val="0"/>
          <c:showPercent val="0"/>
          <c:showBubbleSize val="0"/>
        </c:dLbls>
        <c:marker val="1"/>
        <c:smooth val="0"/>
        <c:axId val="114950528"/>
        <c:axId val="149211776"/>
      </c:lineChart>
      <c:catAx>
        <c:axId val="149203584"/>
        <c:scaling>
          <c:orientation val="minMax"/>
        </c:scaling>
        <c:delete val="0"/>
        <c:axPos val="b"/>
        <c:majorTickMark val="none"/>
        <c:minorTickMark val="none"/>
        <c:tickLblPos val="nextTo"/>
        <c:crossAx val="149209856"/>
        <c:crosses val="autoZero"/>
        <c:auto val="1"/>
        <c:lblAlgn val="ctr"/>
        <c:lblOffset val="100"/>
        <c:noMultiLvlLbl val="0"/>
      </c:catAx>
      <c:valAx>
        <c:axId val="149209856"/>
        <c:scaling>
          <c:orientation val="minMax"/>
        </c:scaling>
        <c:delete val="0"/>
        <c:axPos val="l"/>
        <c:majorGridlines/>
        <c:title>
          <c:tx>
            <c:rich>
              <a:bodyPr/>
              <a:lstStyle/>
              <a:p>
                <a:pPr>
                  <a:defRPr/>
                </a:pPr>
                <a:r>
                  <a:rPr lang="bg-BG"/>
                  <a:t>млрд.лв.</a:t>
                </a:r>
                <a:endParaRPr lang="en-US"/>
              </a:p>
            </c:rich>
          </c:tx>
          <c:overlay val="0"/>
        </c:title>
        <c:numFmt formatCode="0.000" sourceLinked="1"/>
        <c:majorTickMark val="none"/>
        <c:minorTickMark val="none"/>
        <c:tickLblPos val="nextTo"/>
        <c:crossAx val="149203584"/>
        <c:crosses val="autoZero"/>
        <c:crossBetween val="between"/>
      </c:valAx>
      <c:valAx>
        <c:axId val="149211776"/>
        <c:scaling>
          <c:orientation val="minMax"/>
        </c:scaling>
        <c:delete val="0"/>
        <c:axPos val="r"/>
        <c:numFmt formatCode="0.0%" sourceLinked="1"/>
        <c:majorTickMark val="out"/>
        <c:minorTickMark val="none"/>
        <c:tickLblPos val="nextTo"/>
        <c:crossAx val="114950528"/>
        <c:crosses val="max"/>
        <c:crossBetween val="between"/>
      </c:valAx>
      <c:catAx>
        <c:axId val="114950528"/>
        <c:scaling>
          <c:orientation val="minMax"/>
        </c:scaling>
        <c:delete val="1"/>
        <c:axPos val="b"/>
        <c:majorTickMark val="out"/>
        <c:minorTickMark val="none"/>
        <c:tickLblPos val="nextTo"/>
        <c:crossAx val="149211776"/>
        <c:crosses val="autoZero"/>
        <c:auto val="1"/>
        <c:lblAlgn val="ctr"/>
        <c:lblOffset val="100"/>
        <c:noMultiLvlLbl val="0"/>
      </c:catAx>
      <c:dTable>
        <c:showHorzBorder val="1"/>
        <c:showVertBorder val="1"/>
        <c:showOutline val="1"/>
        <c:showKeys val="1"/>
        <c:txPr>
          <a:bodyPr/>
          <a:lstStyle/>
          <a:p>
            <a:pPr rtl="0">
              <a:defRPr sz="1050"/>
            </a:pPr>
            <a:endParaRPr lang="bg-BG"/>
          </a:p>
        </c:txPr>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61E-2"/>
          <c:y val="0.30501603966170898"/>
          <c:w val="0.93888888888888911"/>
          <c:h val="0.57900408282298033"/>
        </c:manualLayout>
      </c:layout>
      <c:lineChart>
        <c:grouping val="standard"/>
        <c:varyColors val="0"/>
        <c:ser>
          <c:idx val="0"/>
          <c:order val="0"/>
          <c:tx>
            <c:strRef>
              <c:f>Sheet3!$A$11</c:f>
              <c:strCache>
                <c:ptCount val="1"/>
                <c:pt idx="0">
                  <c:v>Темп на задълженията към фин. предприятия спрямо 2005 г.</c:v>
                </c:pt>
              </c:strCache>
            </c:strRef>
          </c:tx>
          <c:dLbls>
            <c:dLblPos val="t"/>
            <c:showLegendKey val="0"/>
            <c:showVal val="1"/>
            <c:showCatName val="0"/>
            <c:showSerName val="0"/>
            <c:showPercent val="0"/>
            <c:showBubbleSize val="0"/>
            <c:showLeaderLines val="0"/>
          </c:dLbls>
          <c:cat>
            <c:strRef>
              <c:f>Sheet3!$B$1:$H$1</c:f>
              <c:strCache>
                <c:ptCount val="7"/>
                <c:pt idx="0">
                  <c:v>2005 г.</c:v>
                </c:pt>
                <c:pt idx="1">
                  <c:v>2006 г.</c:v>
                </c:pt>
                <c:pt idx="2">
                  <c:v>2007 г.</c:v>
                </c:pt>
                <c:pt idx="3">
                  <c:v>2008 г.</c:v>
                </c:pt>
                <c:pt idx="4">
                  <c:v>2009 г.</c:v>
                </c:pt>
                <c:pt idx="5">
                  <c:v>2010 г.</c:v>
                </c:pt>
                <c:pt idx="6">
                  <c:v>2011 г.</c:v>
                </c:pt>
              </c:strCache>
            </c:strRef>
          </c:cat>
          <c:val>
            <c:numRef>
              <c:f>Sheet3!$B$11:$H$11</c:f>
            </c:numRef>
          </c:val>
          <c:smooth val="0"/>
        </c:ser>
        <c:ser>
          <c:idx val="1"/>
          <c:order val="1"/>
          <c:tx>
            <c:strRef>
              <c:f>Sheet3!$A$57</c:f>
              <c:strCache>
                <c:ptCount val="1"/>
                <c:pt idx="0">
                  <c:v>Темп на междуфирмените задължения спрямо 2005 год.</c:v>
                </c:pt>
              </c:strCache>
            </c:strRef>
          </c:tx>
          <c:dLbls>
            <c:dLblPos val="b"/>
            <c:showLegendKey val="0"/>
            <c:showVal val="1"/>
            <c:showCatName val="0"/>
            <c:showSerName val="0"/>
            <c:showPercent val="0"/>
            <c:showBubbleSize val="0"/>
            <c:showLeaderLines val="0"/>
          </c:dLbls>
          <c:cat>
            <c:strRef>
              <c:f>Sheet3!$B$1:$H$1</c:f>
              <c:strCache>
                <c:ptCount val="7"/>
                <c:pt idx="0">
                  <c:v>2005 г.</c:v>
                </c:pt>
                <c:pt idx="1">
                  <c:v>2006 г.</c:v>
                </c:pt>
                <c:pt idx="2">
                  <c:v>2007 г.</c:v>
                </c:pt>
                <c:pt idx="3">
                  <c:v>2008 г.</c:v>
                </c:pt>
                <c:pt idx="4">
                  <c:v>2009 г.</c:v>
                </c:pt>
                <c:pt idx="5">
                  <c:v>2010 г.</c:v>
                </c:pt>
                <c:pt idx="6">
                  <c:v>2011 г.</c:v>
                </c:pt>
              </c:strCache>
            </c:strRef>
          </c:cat>
          <c:val>
            <c:numRef>
              <c:f>Sheet3!$B$57:$H$57</c:f>
              <c:numCache>
                <c:formatCode>0</c:formatCode>
                <c:ptCount val="7"/>
                <c:pt idx="0" formatCode="General">
                  <c:v>100</c:v>
                </c:pt>
                <c:pt idx="1">
                  <c:v>119.99193787923792</c:v>
                </c:pt>
                <c:pt idx="2">
                  <c:v>181.52077056901598</c:v>
                </c:pt>
                <c:pt idx="3">
                  <c:v>204.78423218907795</c:v>
                </c:pt>
                <c:pt idx="4">
                  <c:v>219.86888445707979</c:v>
                </c:pt>
                <c:pt idx="5">
                  <c:v>221.5343488776679</c:v>
                </c:pt>
                <c:pt idx="6">
                  <c:v>228.54839394067977</c:v>
                </c:pt>
              </c:numCache>
            </c:numRef>
          </c:val>
          <c:smooth val="0"/>
        </c:ser>
        <c:dLbls>
          <c:showLegendKey val="0"/>
          <c:showVal val="1"/>
          <c:showCatName val="0"/>
          <c:showSerName val="0"/>
          <c:showPercent val="0"/>
          <c:showBubbleSize val="0"/>
        </c:dLbls>
        <c:marker val="1"/>
        <c:smooth val="0"/>
        <c:axId val="114973312"/>
        <c:axId val="114983296"/>
      </c:lineChart>
      <c:catAx>
        <c:axId val="114973312"/>
        <c:scaling>
          <c:orientation val="minMax"/>
        </c:scaling>
        <c:delete val="0"/>
        <c:axPos val="b"/>
        <c:majorTickMark val="none"/>
        <c:minorTickMark val="none"/>
        <c:tickLblPos val="nextTo"/>
        <c:crossAx val="114983296"/>
        <c:crosses val="autoZero"/>
        <c:auto val="1"/>
        <c:lblAlgn val="ctr"/>
        <c:lblOffset val="100"/>
        <c:noMultiLvlLbl val="0"/>
      </c:catAx>
      <c:valAx>
        <c:axId val="114983296"/>
        <c:scaling>
          <c:orientation val="minMax"/>
        </c:scaling>
        <c:delete val="1"/>
        <c:axPos val="l"/>
        <c:numFmt formatCode="General" sourceLinked="1"/>
        <c:majorTickMark val="out"/>
        <c:minorTickMark val="none"/>
        <c:tickLblPos val="none"/>
        <c:crossAx val="114973312"/>
        <c:crosses val="autoZero"/>
        <c:crossBetween val="between"/>
      </c:valAx>
    </c:plotArea>
    <c:legend>
      <c:legendPos val="t"/>
      <c:overlay val="0"/>
      <c:txPr>
        <a:bodyPr/>
        <a:lstStyle/>
        <a:p>
          <a:pPr>
            <a:defRPr sz="1050" b="1"/>
          </a:pPr>
          <a:endParaRPr lang="bg-BG"/>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bg-BG" sz="1200"/>
              <a:t>Задължения към финансовите предприятия в млрд.лв.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Sheet3!$A$7</c:f>
              <c:strCache>
                <c:ptCount val="1"/>
                <c:pt idx="0">
                  <c:v>Финансови предприятия - ОБЩО</c:v>
                </c:pt>
              </c:strCache>
            </c:strRef>
          </c:tx>
          <c:invertIfNegative val="0"/>
          <c:cat>
            <c:strRef>
              <c:f>Sheet3!$B$1:$H$1</c:f>
              <c:strCache>
                <c:ptCount val="7"/>
                <c:pt idx="0">
                  <c:v>2005 г.</c:v>
                </c:pt>
                <c:pt idx="1">
                  <c:v>2006 г.</c:v>
                </c:pt>
                <c:pt idx="2">
                  <c:v>2007 г.</c:v>
                </c:pt>
                <c:pt idx="3">
                  <c:v>2008 г.</c:v>
                </c:pt>
                <c:pt idx="4">
                  <c:v>2009 г.</c:v>
                </c:pt>
                <c:pt idx="5">
                  <c:v>2010 г.</c:v>
                </c:pt>
                <c:pt idx="6">
                  <c:v>2011 г.</c:v>
                </c:pt>
              </c:strCache>
            </c:strRef>
          </c:cat>
          <c:val>
            <c:numRef>
              <c:f>Sheet3!$B$7:$H$7</c:f>
              <c:numCache>
                <c:formatCode>0.000</c:formatCode>
                <c:ptCount val="7"/>
                <c:pt idx="0">
                  <c:v>14.927</c:v>
                </c:pt>
                <c:pt idx="1">
                  <c:v>19.335999999999999</c:v>
                </c:pt>
                <c:pt idx="2">
                  <c:v>29.593</c:v>
                </c:pt>
                <c:pt idx="3">
                  <c:v>44.863</c:v>
                </c:pt>
                <c:pt idx="4">
                  <c:v>46.422000000000011</c:v>
                </c:pt>
                <c:pt idx="5">
                  <c:v>46.605000000000011</c:v>
                </c:pt>
                <c:pt idx="6">
                  <c:v>48.867000000000004</c:v>
                </c:pt>
              </c:numCache>
            </c:numRef>
          </c:val>
        </c:ser>
        <c:dLbls>
          <c:showLegendKey val="0"/>
          <c:showVal val="1"/>
          <c:showCatName val="0"/>
          <c:showSerName val="0"/>
          <c:showPercent val="0"/>
          <c:showBubbleSize val="0"/>
        </c:dLbls>
        <c:gapWidth val="150"/>
        <c:shape val="cylinder"/>
        <c:axId val="114996352"/>
        <c:axId val="114997888"/>
        <c:axId val="0"/>
      </c:bar3DChart>
      <c:catAx>
        <c:axId val="114996352"/>
        <c:scaling>
          <c:orientation val="minMax"/>
        </c:scaling>
        <c:delete val="0"/>
        <c:axPos val="b"/>
        <c:majorTickMark val="none"/>
        <c:minorTickMark val="none"/>
        <c:tickLblPos val="nextTo"/>
        <c:crossAx val="114997888"/>
        <c:crosses val="autoZero"/>
        <c:auto val="1"/>
        <c:lblAlgn val="ctr"/>
        <c:lblOffset val="100"/>
        <c:noMultiLvlLbl val="0"/>
      </c:catAx>
      <c:valAx>
        <c:axId val="114997888"/>
        <c:scaling>
          <c:orientation val="minMax"/>
        </c:scaling>
        <c:delete val="1"/>
        <c:axPos val="l"/>
        <c:numFmt formatCode="0.000" sourceLinked="1"/>
        <c:majorTickMark val="out"/>
        <c:minorTickMark val="none"/>
        <c:tickLblPos val="none"/>
        <c:crossAx val="11499635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bg-BG" sz="1200"/>
              <a:t>Задължения към персонала </a:t>
            </a:r>
            <a:r>
              <a:rPr lang="bg-BG" sz="1200" b="1" i="0" u="none" strike="noStrike" baseline="0">
                <a:effectLst/>
              </a:rPr>
              <a:t>в млрд.лв.</a:t>
            </a:r>
            <a:endParaRPr lang="bg-BG"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Sheet3!$A$20</c:f>
              <c:strCache>
                <c:ptCount val="1"/>
                <c:pt idx="0">
                  <c:v>Персонал - ОБЩО</c:v>
                </c:pt>
              </c:strCache>
            </c:strRef>
          </c:tx>
          <c:invertIfNegative val="0"/>
          <c:cat>
            <c:strRef>
              <c:f>Sheet3!$B$1:$H$1</c:f>
              <c:strCache>
                <c:ptCount val="7"/>
                <c:pt idx="0">
                  <c:v>2005 г.</c:v>
                </c:pt>
                <c:pt idx="1">
                  <c:v>2006 г.</c:v>
                </c:pt>
                <c:pt idx="2">
                  <c:v>2007 г.</c:v>
                </c:pt>
                <c:pt idx="3">
                  <c:v>2008 г.</c:v>
                </c:pt>
                <c:pt idx="4">
                  <c:v>2009 г.</c:v>
                </c:pt>
                <c:pt idx="5">
                  <c:v>2010 г.</c:v>
                </c:pt>
                <c:pt idx="6">
                  <c:v>2011 г.</c:v>
                </c:pt>
              </c:strCache>
            </c:strRef>
          </c:cat>
          <c:val>
            <c:numRef>
              <c:f>Sheet3!$B$20:$H$20</c:f>
              <c:numCache>
                <c:formatCode>0.000</c:formatCode>
                <c:ptCount val="7"/>
                <c:pt idx="0">
                  <c:v>1.25</c:v>
                </c:pt>
                <c:pt idx="1">
                  <c:v>1.375</c:v>
                </c:pt>
                <c:pt idx="2">
                  <c:v>1.458</c:v>
                </c:pt>
                <c:pt idx="3">
                  <c:v>1.728</c:v>
                </c:pt>
                <c:pt idx="4">
                  <c:v>1.869</c:v>
                </c:pt>
                <c:pt idx="5">
                  <c:v>1.889</c:v>
                </c:pt>
                <c:pt idx="6">
                  <c:v>1.931</c:v>
                </c:pt>
              </c:numCache>
            </c:numRef>
          </c:val>
        </c:ser>
        <c:dLbls>
          <c:showLegendKey val="0"/>
          <c:showVal val="1"/>
          <c:showCatName val="0"/>
          <c:showSerName val="0"/>
          <c:showPercent val="0"/>
          <c:showBubbleSize val="0"/>
        </c:dLbls>
        <c:gapWidth val="150"/>
        <c:shape val="cylinder"/>
        <c:axId val="149306752"/>
        <c:axId val="149312640"/>
        <c:axId val="0"/>
      </c:bar3DChart>
      <c:catAx>
        <c:axId val="149306752"/>
        <c:scaling>
          <c:orientation val="minMax"/>
        </c:scaling>
        <c:delete val="0"/>
        <c:axPos val="b"/>
        <c:majorTickMark val="none"/>
        <c:minorTickMark val="none"/>
        <c:tickLblPos val="nextTo"/>
        <c:crossAx val="149312640"/>
        <c:crosses val="autoZero"/>
        <c:auto val="1"/>
        <c:lblAlgn val="ctr"/>
        <c:lblOffset val="100"/>
        <c:noMultiLvlLbl val="0"/>
      </c:catAx>
      <c:valAx>
        <c:axId val="149312640"/>
        <c:scaling>
          <c:orientation val="minMax"/>
        </c:scaling>
        <c:delete val="1"/>
        <c:axPos val="l"/>
        <c:numFmt formatCode="0.000" sourceLinked="1"/>
        <c:majorTickMark val="out"/>
        <c:minorTickMark val="none"/>
        <c:tickLblPos val="none"/>
        <c:crossAx val="14930675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bg-BG" sz="1200"/>
              <a:t>Данъчни и осигурителни задължения </a:t>
            </a:r>
            <a:r>
              <a:rPr lang="bg-BG" sz="1200" b="1" i="0" u="none" strike="noStrike" baseline="0">
                <a:effectLst/>
              </a:rPr>
              <a:t>в млрд.лв.</a:t>
            </a:r>
            <a:endParaRPr lang="en-US" sz="1200"/>
          </a:p>
        </c:rich>
      </c:tx>
      <c:overlay val="0"/>
    </c:title>
    <c:autoTitleDeleted val="0"/>
    <c:plotArea>
      <c:layout/>
      <c:lineChart>
        <c:grouping val="standard"/>
        <c:varyColors val="0"/>
        <c:ser>
          <c:idx val="0"/>
          <c:order val="0"/>
          <c:tx>
            <c:strRef>
              <c:f>Sheet3!$A$212</c:f>
              <c:strCache>
                <c:ptCount val="1"/>
                <c:pt idx="0">
                  <c:v>Данъчни задължения </c:v>
                </c:pt>
              </c:strCache>
            </c:strRef>
          </c:tx>
          <c:dLbls>
            <c:dLblPos val="t"/>
            <c:showLegendKey val="0"/>
            <c:showVal val="1"/>
            <c:showCatName val="0"/>
            <c:showSerName val="0"/>
            <c:showPercent val="0"/>
            <c:showBubbleSize val="0"/>
            <c:showLeaderLines val="0"/>
          </c:dLbls>
          <c:cat>
            <c:strRef>
              <c:f>Sheet3!$B$196:$H$196</c:f>
              <c:strCache>
                <c:ptCount val="7"/>
                <c:pt idx="0">
                  <c:v>2005 г.</c:v>
                </c:pt>
                <c:pt idx="1">
                  <c:v>2006 г.</c:v>
                </c:pt>
                <c:pt idx="2">
                  <c:v>2007 г.</c:v>
                </c:pt>
                <c:pt idx="3">
                  <c:v>2008 г.</c:v>
                </c:pt>
                <c:pt idx="4">
                  <c:v>2009 г.</c:v>
                </c:pt>
                <c:pt idx="5">
                  <c:v>2010 г.</c:v>
                </c:pt>
                <c:pt idx="6">
                  <c:v>2011 г.</c:v>
                </c:pt>
              </c:strCache>
            </c:strRef>
          </c:cat>
          <c:val>
            <c:numRef>
              <c:f>Sheet3!$B$212:$H$212</c:f>
              <c:numCache>
                <c:formatCode>0.000</c:formatCode>
                <c:ptCount val="7"/>
                <c:pt idx="0">
                  <c:v>3.0170000000000003</c:v>
                </c:pt>
                <c:pt idx="1">
                  <c:v>3.0789999999999997</c:v>
                </c:pt>
                <c:pt idx="2">
                  <c:v>4.0720000000000001</c:v>
                </c:pt>
                <c:pt idx="3">
                  <c:v>3.867</c:v>
                </c:pt>
                <c:pt idx="4">
                  <c:v>3.8249999999999997</c:v>
                </c:pt>
                <c:pt idx="5">
                  <c:v>4.025999999999998</c:v>
                </c:pt>
                <c:pt idx="6">
                  <c:v>3.5389999999999997</c:v>
                </c:pt>
              </c:numCache>
            </c:numRef>
          </c:val>
          <c:smooth val="0"/>
        </c:ser>
        <c:ser>
          <c:idx val="1"/>
          <c:order val="1"/>
          <c:tx>
            <c:strRef>
              <c:f>Sheet3!$A$218</c:f>
              <c:strCache>
                <c:ptCount val="1"/>
                <c:pt idx="0">
                  <c:v>Осигурителни задължения </c:v>
                </c:pt>
              </c:strCache>
            </c:strRef>
          </c:tx>
          <c:dLbls>
            <c:dLblPos val="t"/>
            <c:showLegendKey val="0"/>
            <c:showVal val="1"/>
            <c:showCatName val="0"/>
            <c:showSerName val="0"/>
            <c:showPercent val="0"/>
            <c:showBubbleSize val="0"/>
            <c:showLeaderLines val="0"/>
          </c:dLbls>
          <c:cat>
            <c:strRef>
              <c:f>Sheet3!$B$196:$H$196</c:f>
              <c:strCache>
                <c:ptCount val="7"/>
                <c:pt idx="0">
                  <c:v>2005 г.</c:v>
                </c:pt>
                <c:pt idx="1">
                  <c:v>2006 г.</c:v>
                </c:pt>
                <c:pt idx="2">
                  <c:v>2007 г.</c:v>
                </c:pt>
                <c:pt idx="3">
                  <c:v>2008 г.</c:v>
                </c:pt>
                <c:pt idx="4">
                  <c:v>2009 г.</c:v>
                </c:pt>
                <c:pt idx="5">
                  <c:v>2010 г.</c:v>
                </c:pt>
                <c:pt idx="6">
                  <c:v>2011 г.</c:v>
                </c:pt>
              </c:strCache>
            </c:strRef>
          </c:cat>
          <c:val>
            <c:numRef>
              <c:f>Sheet3!$B$218:$H$218</c:f>
              <c:numCache>
                <c:formatCode>0.000</c:formatCode>
                <c:ptCount val="7"/>
                <c:pt idx="0">
                  <c:v>0.69399999999999995</c:v>
                </c:pt>
                <c:pt idx="1">
                  <c:v>0.66000000000000025</c:v>
                </c:pt>
                <c:pt idx="2">
                  <c:v>0.64500000000000024</c:v>
                </c:pt>
                <c:pt idx="3">
                  <c:v>0.76000000000000023</c:v>
                </c:pt>
                <c:pt idx="4">
                  <c:v>0.9</c:v>
                </c:pt>
                <c:pt idx="5">
                  <c:v>0.94900000000000029</c:v>
                </c:pt>
                <c:pt idx="6">
                  <c:v>1.018</c:v>
                </c:pt>
              </c:numCache>
            </c:numRef>
          </c:val>
          <c:smooth val="0"/>
        </c:ser>
        <c:dLbls>
          <c:showLegendKey val="0"/>
          <c:showVal val="1"/>
          <c:showCatName val="0"/>
          <c:showSerName val="0"/>
          <c:showPercent val="0"/>
          <c:showBubbleSize val="0"/>
        </c:dLbls>
        <c:marker val="1"/>
        <c:smooth val="0"/>
        <c:axId val="149342464"/>
        <c:axId val="149348352"/>
      </c:lineChart>
      <c:catAx>
        <c:axId val="149342464"/>
        <c:scaling>
          <c:orientation val="minMax"/>
        </c:scaling>
        <c:delete val="0"/>
        <c:axPos val="b"/>
        <c:majorTickMark val="none"/>
        <c:minorTickMark val="none"/>
        <c:tickLblPos val="nextTo"/>
        <c:crossAx val="149348352"/>
        <c:crosses val="autoZero"/>
        <c:auto val="1"/>
        <c:lblAlgn val="ctr"/>
        <c:lblOffset val="100"/>
        <c:noMultiLvlLbl val="0"/>
      </c:catAx>
      <c:valAx>
        <c:axId val="149348352"/>
        <c:scaling>
          <c:orientation val="minMax"/>
        </c:scaling>
        <c:delete val="1"/>
        <c:axPos val="l"/>
        <c:numFmt formatCode="0.000" sourceLinked="1"/>
        <c:majorTickMark val="out"/>
        <c:minorTickMark val="none"/>
        <c:tickLblPos val="none"/>
        <c:crossAx val="14934246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bg-BG" sz="1100"/>
              <a:t>Съотношение на задълженията към БВП (по съпоставими</a:t>
            </a:r>
            <a:r>
              <a:rPr lang="bg-BG" sz="1100" baseline="0"/>
              <a:t> цени спрямо предходната година)</a:t>
            </a:r>
            <a:endParaRPr lang="bg-BG" sz="1100"/>
          </a:p>
        </c:rich>
      </c:tx>
      <c:overlay val="0"/>
    </c:title>
    <c:autoTitleDeleted val="0"/>
    <c:plotArea>
      <c:layout>
        <c:manualLayout>
          <c:layoutTarget val="inner"/>
          <c:xMode val="edge"/>
          <c:yMode val="edge"/>
          <c:x val="3.0555555555555555E-2"/>
          <c:y val="0.35796533697750593"/>
          <c:w val="0.93888888888888888"/>
          <c:h val="0.52605496626971215"/>
        </c:manualLayout>
      </c:layout>
      <c:lineChart>
        <c:grouping val="standard"/>
        <c:varyColors val="0"/>
        <c:ser>
          <c:idx val="0"/>
          <c:order val="0"/>
          <c:tx>
            <c:strRef>
              <c:f>Sheet1!$A$75</c:f>
              <c:strCache>
                <c:ptCount val="1"/>
                <c:pt idx="0">
                  <c:v>съотношение "БВП : Задължения"</c:v>
                </c:pt>
              </c:strCache>
            </c:strRef>
          </c:tx>
          <c:dLbls>
            <c:dLblPos val="t"/>
            <c:showLegendKey val="0"/>
            <c:showVal val="1"/>
            <c:showCatName val="0"/>
            <c:showSerName val="0"/>
            <c:showPercent val="0"/>
            <c:showBubbleSize val="0"/>
            <c:showLeaderLines val="0"/>
          </c:dLbls>
          <c:cat>
            <c:numRef>
              <c:f>Sheet1!$B$73:$H$73</c:f>
              <c:numCache>
                <c:formatCode>General</c:formatCode>
                <c:ptCount val="7"/>
                <c:pt idx="0">
                  <c:v>2005</c:v>
                </c:pt>
                <c:pt idx="1">
                  <c:v>2006</c:v>
                </c:pt>
                <c:pt idx="2">
                  <c:v>2007</c:v>
                </c:pt>
                <c:pt idx="3">
                  <c:v>2008</c:v>
                </c:pt>
                <c:pt idx="4">
                  <c:v>2009</c:v>
                </c:pt>
                <c:pt idx="5">
                  <c:v>2010</c:v>
                </c:pt>
                <c:pt idx="6">
                  <c:v>2011</c:v>
                </c:pt>
              </c:numCache>
            </c:numRef>
          </c:cat>
          <c:val>
            <c:numRef>
              <c:f>Sheet1!$B$75:$H$75</c:f>
              <c:numCache>
                <c:formatCode>0.00</c:formatCode>
                <c:ptCount val="7"/>
                <c:pt idx="0">
                  <c:v>1.5823869673002009</c:v>
                </c:pt>
                <c:pt idx="1">
                  <c:v>1.6721436680772011</c:v>
                </c:pt>
                <c:pt idx="2">
                  <c:v>2.2010449548274735</c:v>
                </c:pt>
                <c:pt idx="3">
                  <c:v>2.3117039586919104</c:v>
                </c:pt>
                <c:pt idx="4">
                  <c:v>2.3915877862595418</c:v>
                </c:pt>
                <c:pt idx="5">
                  <c:v>2.3019288807243146</c:v>
                </c:pt>
                <c:pt idx="6">
                  <c:v>2.2748755004394106</c:v>
                </c:pt>
              </c:numCache>
            </c:numRef>
          </c:val>
          <c:smooth val="0"/>
        </c:ser>
        <c:dLbls>
          <c:showLegendKey val="0"/>
          <c:showVal val="1"/>
          <c:showCatName val="0"/>
          <c:showSerName val="0"/>
          <c:showPercent val="0"/>
          <c:showBubbleSize val="0"/>
        </c:dLbls>
        <c:marker val="1"/>
        <c:smooth val="0"/>
        <c:axId val="114699648"/>
        <c:axId val="114698112"/>
      </c:lineChart>
      <c:catAx>
        <c:axId val="114699648"/>
        <c:scaling>
          <c:orientation val="minMax"/>
        </c:scaling>
        <c:delete val="0"/>
        <c:axPos val="b"/>
        <c:numFmt formatCode="General" sourceLinked="1"/>
        <c:majorTickMark val="none"/>
        <c:minorTickMark val="none"/>
        <c:tickLblPos val="nextTo"/>
        <c:crossAx val="114698112"/>
        <c:crosses val="autoZero"/>
        <c:auto val="1"/>
        <c:lblAlgn val="ctr"/>
        <c:lblOffset val="100"/>
        <c:noMultiLvlLbl val="0"/>
      </c:catAx>
      <c:valAx>
        <c:axId val="114698112"/>
        <c:scaling>
          <c:orientation val="minMax"/>
          <c:min val="1.5"/>
        </c:scaling>
        <c:delete val="1"/>
        <c:axPos val="l"/>
        <c:numFmt formatCode="0.00" sourceLinked="1"/>
        <c:majorTickMark val="out"/>
        <c:minorTickMark val="none"/>
        <c:tickLblPos val="nextTo"/>
        <c:crossAx val="114699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bg-BG" sz="1100"/>
              <a:t>Разходи за придобиване на ДМА </a:t>
            </a:r>
            <a:br>
              <a:rPr lang="bg-BG" sz="1100"/>
            </a:br>
            <a:r>
              <a:rPr lang="bg-BG" sz="1100"/>
              <a:t>в млрд.лв.</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33760000000000001"/>
          <c:w val="1"/>
          <c:h val="0.52872230971128609"/>
        </c:manualLayout>
      </c:layout>
      <c:bar3DChart>
        <c:barDir val="col"/>
        <c:grouping val="clustered"/>
        <c:varyColors val="0"/>
        <c:ser>
          <c:idx val="0"/>
          <c:order val="0"/>
          <c:tx>
            <c:strRef>
              <c:f>Sheet1!$A$77</c:f>
              <c:strCache>
                <c:ptCount val="1"/>
                <c:pt idx="0">
                  <c:v>Разходи за придобиване на ДМА в млрд.лв.</c:v>
                </c:pt>
              </c:strCache>
            </c:strRef>
          </c:tx>
          <c:invertIfNegative val="0"/>
          <c:cat>
            <c:numRef>
              <c:f>Sheet1!$B$73:$H$73</c:f>
              <c:numCache>
                <c:formatCode>General</c:formatCode>
                <c:ptCount val="7"/>
                <c:pt idx="0">
                  <c:v>2005</c:v>
                </c:pt>
                <c:pt idx="1">
                  <c:v>2006</c:v>
                </c:pt>
                <c:pt idx="2">
                  <c:v>2007</c:v>
                </c:pt>
                <c:pt idx="3">
                  <c:v>2008</c:v>
                </c:pt>
                <c:pt idx="4">
                  <c:v>2009</c:v>
                </c:pt>
                <c:pt idx="5">
                  <c:v>2010</c:v>
                </c:pt>
                <c:pt idx="6">
                  <c:v>2011</c:v>
                </c:pt>
              </c:numCache>
            </c:numRef>
          </c:cat>
          <c:val>
            <c:numRef>
              <c:f>Sheet1!$B$77:$H$77</c:f>
              <c:numCache>
                <c:formatCode>0.000</c:formatCode>
                <c:ptCount val="7"/>
                <c:pt idx="0">
                  <c:v>13.263</c:v>
                </c:pt>
                <c:pt idx="1">
                  <c:v>17.742999999999999</c:v>
                </c:pt>
                <c:pt idx="2">
                  <c:v>27.446999999999999</c:v>
                </c:pt>
                <c:pt idx="3">
                  <c:v>29.423999999999999</c:v>
                </c:pt>
                <c:pt idx="4">
                  <c:v>21.274000000000001</c:v>
                </c:pt>
                <c:pt idx="5">
                  <c:v>16.218</c:v>
                </c:pt>
                <c:pt idx="6">
                  <c:v>17.913</c:v>
                </c:pt>
              </c:numCache>
            </c:numRef>
          </c:val>
        </c:ser>
        <c:dLbls>
          <c:showLegendKey val="0"/>
          <c:showVal val="1"/>
          <c:showCatName val="0"/>
          <c:showSerName val="0"/>
          <c:showPercent val="0"/>
          <c:showBubbleSize val="0"/>
        </c:dLbls>
        <c:gapWidth val="150"/>
        <c:shape val="cylinder"/>
        <c:axId val="114746880"/>
        <c:axId val="114748416"/>
        <c:axId val="0"/>
      </c:bar3DChart>
      <c:catAx>
        <c:axId val="114746880"/>
        <c:scaling>
          <c:orientation val="minMax"/>
        </c:scaling>
        <c:delete val="0"/>
        <c:axPos val="b"/>
        <c:numFmt formatCode="General" sourceLinked="1"/>
        <c:majorTickMark val="none"/>
        <c:minorTickMark val="none"/>
        <c:tickLblPos val="nextTo"/>
        <c:crossAx val="114748416"/>
        <c:crosses val="autoZero"/>
        <c:auto val="1"/>
        <c:lblAlgn val="ctr"/>
        <c:lblOffset val="100"/>
        <c:noMultiLvlLbl val="0"/>
      </c:catAx>
      <c:valAx>
        <c:axId val="114748416"/>
        <c:scaling>
          <c:orientation val="minMax"/>
        </c:scaling>
        <c:delete val="1"/>
        <c:axPos val="l"/>
        <c:numFmt formatCode="0.000" sourceLinked="1"/>
        <c:majorTickMark val="out"/>
        <c:minorTickMark val="none"/>
        <c:tickLblPos val="nextTo"/>
        <c:crossAx val="1147468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bg-BG" sz="1100"/>
              <a:t>Съотношение  на инвестициите</a:t>
            </a:r>
            <a:r>
              <a:rPr lang="bg-BG" sz="1100" baseline="0"/>
              <a:t> към</a:t>
            </a:r>
            <a:r>
              <a:rPr lang="bg-BG" sz="1100"/>
              <a:t> БВП</a:t>
            </a:r>
            <a:r>
              <a:rPr lang="bg-BG" sz="1100" baseline="0"/>
              <a:t> (по съпост.цени)</a:t>
            </a:r>
            <a:endParaRPr lang="bg-BG" sz="1100"/>
          </a:p>
        </c:rich>
      </c:tx>
      <c:overlay val="0"/>
    </c:title>
    <c:autoTitleDeleted val="0"/>
    <c:plotArea>
      <c:layout/>
      <c:lineChart>
        <c:grouping val="standard"/>
        <c:varyColors val="0"/>
        <c:ser>
          <c:idx val="0"/>
          <c:order val="0"/>
          <c:tx>
            <c:strRef>
              <c:f>Sheet1!$A$78</c:f>
              <c:strCache>
                <c:ptCount val="1"/>
                <c:pt idx="0">
                  <c:v>Съотношение "БВП : Инвестиции"</c:v>
                </c:pt>
              </c:strCache>
            </c:strRef>
          </c:tx>
          <c:cat>
            <c:numRef>
              <c:f>Sheet1!$B$73:$H$73</c:f>
              <c:numCache>
                <c:formatCode>General</c:formatCode>
                <c:ptCount val="7"/>
                <c:pt idx="0">
                  <c:v>2005</c:v>
                </c:pt>
                <c:pt idx="1">
                  <c:v>2006</c:v>
                </c:pt>
                <c:pt idx="2">
                  <c:v>2007</c:v>
                </c:pt>
                <c:pt idx="3">
                  <c:v>2008</c:v>
                </c:pt>
                <c:pt idx="4">
                  <c:v>2009</c:v>
                </c:pt>
                <c:pt idx="5">
                  <c:v>2010</c:v>
                </c:pt>
                <c:pt idx="6">
                  <c:v>2011</c:v>
                </c:pt>
              </c:numCache>
            </c:numRef>
          </c:cat>
          <c:val>
            <c:numRef>
              <c:f>Sheet1!$B$78:$H$78</c:f>
              <c:numCache>
                <c:formatCode>0.00</c:formatCode>
                <c:ptCount val="7"/>
                <c:pt idx="0">
                  <c:v>0.31313894463463582</c:v>
                </c:pt>
                <c:pt idx="1">
                  <c:v>0.36625038703684587</c:v>
                </c:pt>
                <c:pt idx="2">
                  <c:v>0.4979318602372918</c:v>
                </c:pt>
                <c:pt idx="3">
                  <c:v>0.4603974338914098</c:v>
                </c:pt>
                <c:pt idx="4">
                  <c:v>0.32479389312977103</c:v>
                </c:pt>
                <c:pt idx="5">
                  <c:v>0.23645190919826795</c:v>
                </c:pt>
                <c:pt idx="6">
                  <c:v>0.24987794160726493</c:v>
                </c:pt>
              </c:numCache>
            </c:numRef>
          </c:val>
          <c:smooth val="0"/>
        </c:ser>
        <c:dLbls>
          <c:dLblPos val="t"/>
          <c:showLegendKey val="0"/>
          <c:showVal val="1"/>
          <c:showCatName val="0"/>
          <c:showSerName val="0"/>
          <c:showPercent val="0"/>
          <c:showBubbleSize val="0"/>
        </c:dLbls>
        <c:marker val="1"/>
        <c:smooth val="0"/>
        <c:axId val="149044608"/>
        <c:axId val="149054592"/>
      </c:lineChart>
      <c:catAx>
        <c:axId val="149044608"/>
        <c:scaling>
          <c:orientation val="minMax"/>
        </c:scaling>
        <c:delete val="0"/>
        <c:axPos val="b"/>
        <c:numFmt formatCode="General" sourceLinked="1"/>
        <c:majorTickMark val="none"/>
        <c:minorTickMark val="none"/>
        <c:tickLblPos val="nextTo"/>
        <c:crossAx val="149054592"/>
        <c:crosses val="autoZero"/>
        <c:auto val="1"/>
        <c:lblAlgn val="ctr"/>
        <c:lblOffset val="100"/>
        <c:noMultiLvlLbl val="0"/>
      </c:catAx>
      <c:valAx>
        <c:axId val="149054592"/>
        <c:scaling>
          <c:orientation val="minMax"/>
        </c:scaling>
        <c:delete val="1"/>
        <c:axPos val="l"/>
        <c:numFmt formatCode="0.00" sourceLinked="1"/>
        <c:majorTickMark val="out"/>
        <c:minorTickMark val="none"/>
        <c:tickLblPos val="nextTo"/>
        <c:crossAx val="1490446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bg-BG" sz="1200"/>
              <a:t>Задължения (млрд.лв.)</a:t>
            </a:r>
          </a:p>
        </c:rich>
      </c:tx>
      <c:overlay val="0"/>
    </c:title>
    <c:autoTitleDeleted val="0"/>
    <c:plotArea>
      <c:layout>
        <c:manualLayout>
          <c:layoutTarget val="inner"/>
          <c:xMode val="edge"/>
          <c:yMode val="edge"/>
          <c:x val="2.5258092738407699E-2"/>
          <c:y val="0.17238805970149254"/>
          <c:w val="0.94948381452318464"/>
          <c:h val="0.7121976730520625"/>
        </c:manualLayout>
      </c:layout>
      <c:lineChart>
        <c:grouping val="standard"/>
        <c:varyColors val="0"/>
        <c:ser>
          <c:idx val="0"/>
          <c:order val="0"/>
          <c:tx>
            <c:strRef>
              <c:f>FINAL!$A$49</c:f>
              <c:strCache>
                <c:ptCount val="1"/>
                <c:pt idx="0">
                  <c:v>ЗАДЪЛЖЕНИЯ</c:v>
                </c:pt>
              </c:strCache>
            </c:strRef>
          </c:tx>
          <c:dLbls>
            <c:dLbl>
              <c:idx val="1"/>
              <c:layout>
                <c:manualLayout>
                  <c:x val="-0.12090612834469516"/>
                  <c:y val="-6.7126963607161139E-2"/>
                </c:manualLayout>
              </c:layout>
              <c:dLblPos val="r"/>
              <c:showLegendKey val="0"/>
              <c:showVal val="1"/>
              <c:showCatName val="0"/>
              <c:showSerName val="0"/>
              <c:showPercent val="0"/>
              <c:showBubbleSize val="0"/>
            </c:dLbl>
            <c:dLbl>
              <c:idx val="2"/>
              <c:layout>
                <c:manualLayout>
                  <c:x val="-0.15795310821046699"/>
                  <c:y val="-5.717671485094214E-2"/>
                </c:manualLayout>
              </c:layout>
              <c:dLblPos val="r"/>
              <c:showLegendKey val="0"/>
              <c:showVal val="1"/>
              <c:showCatName val="0"/>
              <c:showSerName val="0"/>
              <c:showPercent val="0"/>
              <c:showBubbleSize val="0"/>
            </c:dLbl>
            <c:dLbl>
              <c:idx val="3"/>
              <c:layout>
                <c:manualLayout>
                  <c:x val="-0.1534788352798182"/>
                  <c:y val="-4.7226466094723231E-2"/>
                </c:manualLayout>
              </c:layout>
              <c:dLblPos val="r"/>
              <c:showLegendKey val="0"/>
              <c:showVal val="1"/>
              <c:showCatName val="0"/>
              <c:showSerName val="0"/>
              <c:showPercent val="0"/>
              <c:showBubbleSize val="0"/>
            </c:dLbl>
            <c:dLbl>
              <c:idx val="4"/>
              <c:layout>
                <c:manualLayout>
                  <c:x val="-0.13558174355722313"/>
                  <c:y val="-5.717671485094214E-2"/>
                </c:manualLayout>
              </c:layout>
              <c:dLblPos val="r"/>
              <c:showLegendKey val="0"/>
              <c:showVal val="1"/>
              <c:showCatName val="0"/>
              <c:showSerName val="0"/>
              <c:showPercent val="0"/>
              <c:showBubbleSize val="0"/>
            </c:dLbl>
            <c:dLbl>
              <c:idx val="6"/>
              <c:layout>
                <c:manualLayout>
                  <c:x val="-2.4661346861843612E-6"/>
                  <c:y val="-6.7126963607161041E-2"/>
                </c:manualLayout>
              </c:layout>
              <c:dLblPos val="r"/>
              <c:showLegendKey val="0"/>
              <c:showVal val="1"/>
              <c:showCatName val="0"/>
              <c:showSerName val="0"/>
              <c:showPercent val="0"/>
              <c:showBubbleSize val="0"/>
            </c:dLbl>
            <c:txPr>
              <a:bodyPr/>
              <a:lstStyle/>
              <a:p>
                <a:pPr>
                  <a:defRPr sz="900"/>
                </a:pPr>
                <a:endParaRPr lang="bg-BG"/>
              </a:p>
            </c:txPr>
            <c:dLblPos val="t"/>
            <c:showLegendKey val="0"/>
            <c:showVal val="1"/>
            <c:showCatName val="0"/>
            <c:showSerName val="0"/>
            <c:showPercent val="0"/>
            <c:showBubbleSize val="0"/>
            <c:showLeaderLines val="0"/>
          </c:dLbls>
          <c:cat>
            <c:strRef>
              <c:f>FINAL!$B$1:$H$1</c:f>
              <c:strCache>
                <c:ptCount val="7"/>
                <c:pt idx="0">
                  <c:v>2005 г.</c:v>
                </c:pt>
                <c:pt idx="1">
                  <c:v>2006 г.</c:v>
                </c:pt>
                <c:pt idx="2">
                  <c:v>2007 г.</c:v>
                </c:pt>
                <c:pt idx="3">
                  <c:v>2008 г.</c:v>
                </c:pt>
                <c:pt idx="4">
                  <c:v>2009 г.</c:v>
                </c:pt>
                <c:pt idx="5">
                  <c:v>2010 г.</c:v>
                </c:pt>
                <c:pt idx="6">
                  <c:v>2011 г.</c:v>
                </c:pt>
              </c:strCache>
            </c:strRef>
          </c:cat>
          <c:val>
            <c:numRef>
              <c:f>FINAL!$B$49:$H$49</c:f>
              <c:numCache>
                <c:formatCode>0.000</c:formatCode>
                <c:ptCount val="7"/>
                <c:pt idx="0">
                  <c:v>67.022000000000006</c:v>
                </c:pt>
                <c:pt idx="1">
                  <c:v>81.007000000000005</c:v>
                </c:pt>
                <c:pt idx="2">
                  <c:v>121.32600000000001</c:v>
                </c:pt>
                <c:pt idx="3">
                  <c:v>147.74099999999999</c:v>
                </c:pt>
                <c:pt idx="4">
                  <c:v>156.649</c:v>
                </c:pt>
                <c:pt idx="5">
                  <c:v>157.887</c:v>
                </c:pt>
                <c:pt idx="6">
                  <c:v>163.07900000000001</c:v>
                </c:pt>
              </c:numCache>
            </c:numRef>
          </c:val>
          <c:smooth val="0"/>
        </c:ser>
        <c:dLbls>
          <c:showLegendKey val="0"/>
          <c:showVal val="1"/>
          <c:showCatName val="0"/>
          <c:showSerName val="0"/>
          <c:showPercent val="0"/>
          <c:showBubbleSize val="0"/>
        </c:dLbls>
        <c:marker val="1"/>
        <c:smooth val="0"/>
        <c:axId val="114905088"/>
        <c:axId val="114907776"/>
      </c:lineChart>
      <c:catAx>
        <c:axId val="114905088"/>
        <c:scaling>
          <c:orientation val="minMax"/>
        </c:scaling>
        <c:delete val="0"/>
        <c:axPos val="b"/>
        <c:majorTickMark val="none"/>
        <c:minorTickMark val="none"/>
        <c:tickLblPos val="nextTo"/>
        <c:txPr>
          <a:bodyPr/>
          <a:lstStyle/>
          <a:p>
            <a:pPr>
              <a:defRPr sz="900"/>
            </a:pPr>
            <a:endParaRPr lang="bg-BG"/>
          </a:p>
        </c:txPr>
        <c:crossAx val="114907776"/>
        <c:crosses val="autoZero"/>
        <c:auto val="1"/>
        <c:lblAlgn val="ctr"/>
        <c:lblOffset val="100"/>
        <c:noMultiLvlLbl val="0"/>
      </c:catAx>
      <c:valAx>
        <c:axId val="114907776"/>
        <c:scaling>
          <c:orientation val="minMax"/>
          <c:min val="60"/>
        </c:scaling>
        <c:delete val="1"/>
        <c:axPos val="l"/>
        <c:numFmt formatCode="0.000" sourceLinked="1"/>
        <c:majorTickMark val="out"/>
        <c:minorTickMark val="none"/>
        <c:tickLblPos val="nextTo"/>
        <c:crossAx val="1149050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26310181376581659"/>
          <c:w val="1"/>
          <c:h val="0.61226309397892431"/>
        </c:manualLayout>
      </c:layout>
      <c:lineChart>
        <c:grouping val="standard"/>
        <c:varyColors val="0"/>
        <c:ser>
          <c:idx val="1"/>
          <c:order val="0"/>
          <c:tx>
            <c:strRef>
              <c:f>Sheet3!$A$48</c:f>
              <c:strCache>
                <c:ptCount val="1"/>
                <c:pt idx="0">
                  <c:v>Прираст на задълженията спрямо предх.година</c:v>
                </c:pt>
              </c:strCache>
            </c:strRef>
          </c:tx>
          <c:dLbls>
            <c:dLbl>
              <c:idx val="1"/>
              <c:layout>
                <c:manualLayout>
                  <c:x val="-2.0618110236220472E-2"/>
                  <c:y val="-4.6770924467774859E-2"/>
                </c:manualLayout>
              </c:layout>
              <c:dLblPos val="r"/>
              <c:showLegendKey val="0"/>
              <c:showVal val="1"/>
              <c:showCatName val="0"/>
              <c:showSerName val="0"/>
              <c:showPercent val="0"/>
              <c:showBubbleSize val="0"/>
            </c:dLbl>
            <c:txPr>
              <a:bodyPr/>
              <a:lstStyle/>
              <a:p>
                <a:pPr>
                  <a:defRPr b="1"/>
                </a:pPr>
                <a:endParaRPr lang="bg-BG"/>
              </a:p>
            </c:txPr>
            <c:dLblPos val="t"/>
            <c:showLegendKey val="0"/>
            <c:showVal val="1"/>
            <c:showCatName val="0"/>
            <c:showSerName val="0"/>
            <c:showPercent val="0"/>
            <c:showBubbleSize val="0"/>
            <c:showLeaderLines val="0"/>
          </c:dLbls>
          <c:cat>
            <c:strRef>
              <c:f>Sheet3!$C$1:$H$1</c:f>
              <c:strCache>
                <c:ptCount val="6"/>
                <c:pt idx="0">
                  <c:v>2006 г.</c:v>
                </c:pt>
                <c:pt idx="1">
                  <c:v>2007 г.</c:v>
                </c:pt>
                <c:pt idx="2">
                  <c:v>2008 г.</c:v>
                </c:pt>
                <c:pt idx="3">
                  <c:v>2009 г.</c:v>
                </c:pt>
                <c:pt idx="4">
                  <c:v>2010 г.</c:v>
                </c:pt>
                <c:pt idx="5">
                  <c:v>2011 г.</c:v>
                </c:pt>
              </c:strCache>
            </c:strRef>
          </c:cat>
          <c:val>
            <c:numRef>
              <c:f>Sheet3!$C$48:$H$48</c:f>
              <c:numCache>
                <c:formatCode>0.000</c:formatCode>
                <c:ptCount val="6"/>
                <c:pt idx="0">
                  <c:v>13.984999999999999</c:v>
                </c:pt>
                <c:pt idx="1">
                  <c:v>40.319000000000003</c:v>
                </c:pt>
                <c:pt idx="2">
                  <c:v>26.414999999999978</c:v>
                </c:pt>
                <c:pt idx="3">
                  <c:v>8.9080000000000155</c:v>
                </c:pt>
                <c:pt idx="4">
                  <c:v>1.2379999999999995</c:v>
                </c:pt>
                <c:pt idx="5">
                  <c:v>5.1920000000000073</c:v>
                </c:pt>
              </c:numCache>
            </c:numRef>
          </c:val>
          <c:smooth val="0"/>
        </c:ser>
        <c:ser>
          <c:idx val="2"/>
          <c:order val="1"/>
          <c:tx>
            <c:strRef>
              <c:f>Sheet3!$A$49</c:f>
              <c:strCache>
                <c:ptCount val="1"/>
                <c:pt idx="0">
                  <c:v>Прираст на задълженията спрямо 2005 г.</c:v>
                </c:pt>
              </c:strCache>
            </c:strRef>
          </c:tx>
          <c:dLbls>
            <c:dLblPos val="t"/>
            <c:showLegendKey val="0"/>
            <c:showVal val="1"/>
            <c:showCatName val="0"/>
            <c:showSerName val="0"/>
            <c:showPercent val="0"/>
            <c:showBubbleSize val="0"/>
            <c:showLeaderLines val="0"/>
          </c:dLbls>
          <c:cat>
            <c:strRef>
              <c:f>Sheet3!$C$1:$H$1</c:f>
              <c:strCache>
                <c:ptCount val="6"/>
                <c:pt idx="0">
                  <c:v>2006 г.</c:v>
                </c:pt>
                <c:pt idx="1">
                  <c:v>2007 г.</c:v>
                </c:pt>
                <c:pt idx="2">
                  <c:v>2008 г.</c:v>
                </c:pt>
                <c:pt idx="3">
                  <c:v>2009 г.</c:v>
                </c:pt>
                <c:pt idx="4">
                  <c:v>2010 г.</c:v>
                </c:pt>
                <c:pt idx="5">
                  <c:v>2011 г.</c:v>
                </c:pt>
              </c:strCache>
            </c:strRef>
          </c:cat>
          <c:val>
            <c:numRef>
              <c:f>Sheet3!$C$49:$H$49</c:f>
              <c:numCache>
                <c:formatCode>0.000</c:formatCode>
                <c:ptCount val="6"/>
                <c:pt idx="0">
                  <c:v>13.984999999999999</c:v>
                </c:pt>
                <c:pt idx="1">
                  <c:v>54.304000000000002</c:v>
                </c:pt>
                <c:pt idx="2">
                  <c:v>80.71899999999998</c:v>
                </c:pt>
                <c:pt idx="3">
                  <c:v>89.626999999999995</c:v>
                </c:pt>
                <c:pt idx="4">
                  <c:v>90.864999999999995</c:v>
                </c:pt>
                <c:pt idx="5">
                  <c:v>96.057000000000002</c:v>
                </c:pt>
              </c:numCache>
            </c:numRef>
          </c:val>
          <c:smooth val="0"/>
        </c:ser>
        <c:dLbls>
          <c:showLegendKey val="0"/>
          <c:showVal val="1"/>
          <c:showCatName val="0"/>
          <c:showSerName val="0"/>
          <c:showPercent val="0"/>
          <c:showBubbleSize val="0"/>
        </c:dLbls>
        <c:marker val="1"/>
        <c:smooth val="0"/>
        <c:axId val="148975616"/>
        <c:axId val="148977152"/>
      </c:lineChart>
      <c:catAx>
        <c:axId val="148975616"/>
        <c:scaling>
          <c:orientation val="minMax"/>
        </c:scaling>
        <c:delete val="0"/>
        <c:axPos val="b"/>
        <c:majorTickMark val="none"/>
        <c:minorTickMark val="none"/>
        <c:tickLblPos val="nextTo"/>
        <c:crossAx val="148977152"/>
        <c:crosses val="autoZero"/>
        <c:auto val="1"/>
        <c:lblAlgn val="ctr"/>
        <c:lblOffset val="100"/>
        <c:noMultiLvlLbl val="0"/>
      </c:catAx>
      <c:valAx>
        <c:axId val="148977152"/>
        <c:scaling>
          <c:orientation val="minMax"/>
        </c:scaling>
        <c:delete val="1"/>
        <c:axPos val="l"/>
        <c:numFmt formatCode="0.000" sourceLinked="1"/>
        <c:majorTickMark val="out"/>
        <c:minorTickMark val="none"/>
        <c:tickLblPos val="none"/>
        <c:crossAx val="148975616"/>
        <c:crosses val="autoZero"/>
        <c:crossBetween val="between"/>
      </c:valAx>
    </c:plotArea>
    <c:legend>
      <c:legendPos val="t"/>
      <c:layout>
        <c:manualLayout>
          <c:xMode val="edge"/>
          <c:yMode val="edge"/>
          <c:x val="0"/>
          <c:y val="2.9850746268656716E-2"/>
          <c:w val="0.99720384951881014"/>
          <c:h val="0.17699102910643633"/>
        </c:manualLayout>
      </c:layout>
      <c:overlay val="0"/>
      <c:txPr>
        <a:bodyPr/>
        <a:lstStyle/>
        <a:p>
          <a:pPr>
            <a:defRPr sz="1050" b="1"/>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bg-BG" sz="1200"/>
              <a:t>Съотношение</a:t>
            </a:r>
            <a:r>
              <a:rPr lang="bg-BG" sz="1200" baseline="0"/>
              <a:t> между приходите от продажби и задълженията на нефинансовите предприятия</a:t>
            </a:r>
            <a:endParaRPr lang="bg-BG" sz="1200"/>
          </a:p>
        </c:rich>
      </c:tx>
      <c:overlay val="0"/>
    </c:title>
    <c:autoTitleDeleted val="0"/>
    <c:plotArea>
      <c:layout>
        <c:manualLayout>
          <c:layoutTarget val="inner"/>
          <c:xMode val="edge"/>
          <c:yMode val="edge"/>
          <c:x val="3.0555555555555561E-2"/>
          <c:y val="0.25601851851851853"/>
          <c:w val="0.93888888888888911"/>
          <c:h val="0.72083333333333355"/>
        </c:manualLayout>
      </c:layout>
      <c:lineChart>
        <c:grouping val="standard"/>
        <c:varyColors val="0"/>
        <c:ser>
          <c:idx val="0"/>
          <c:order val="0"/>
          <c:tx>
            <c:strRef>
              <c:f>Sheet3!$A$77</c:f>
              <c:strCache>
                <c:ptCount val="1"/>
                <c:pt idx="0">
                  <c:v>Съотн. "Приходи от продажби : Задължения"</c:v>
                </c:pt>
              </c:strCache>
            </c:strRef>
          </c:tx>
          <c:dLbls>
            <c:dLbl>
              <c:idx val="1"/>
              <c:layout>
                <c:manualLayout>
                  <c:x val="-4.8312554680664942E-2"/>
                  <c:y val="-5.9710557013706672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Sheet3!$B$71:$H$71</c:f>
              <c:numCache>
                <c:formatCode>General</c:formatCode>
                <c:ptCount val="7"/>
                <c:pt idx="0">
                  <c:v>2005</c:v>
                </c:pt>
                <c:pt idx="1">
                  <c:v>2006</c:v>
                </c:pt>
                <c:pt idx="2">
                  <c:v>2007</c:v>
                </c:pt>
                <c:pt idx="3">
                  <c:v>2008</c:v>
                </c:pt>
                <c:pt idx="4">
                  <c:v>2009</c:v>
                </c:pt>
                <c:pt idx="5">
                  <c:v>2010</c:v>
                </c:pt>
                <c:pt idx="6">
                  <c:v>2011</c:v>
                </c:pt>
              </c:numCache>
            </c:numRef>
          </c:cat>
          <c:val>
            <c:numRef>
              <c:f>Sheet3!$B$77:$H$77</c:f>
              <c:numCache>
                <c:formatCode>0.0%</c:formatCode>
                <c:ptCount val="7"/>
                <c:pt idx="0">
                  <c:v>-0.11</c:v>
                </c:pt>
                <c:pt idx="1">
                  <c:v>1.6000000000000007E-2</c:v>
                </c:pt>
                <c:pt idx="2">
                  <c:v>-9.0000000000000024E-2</c:v>
                </c:pt>
                <c:pt idx="3">
                  <c:v>-0.25</c:v>
                </c:pt>
                <c:pt idx="4">
                  <c:v>-0.62600000000000022</c:v>
                </c:pt>
                <c:pt idx="5">
                  <c:v>-0.64527408843033329</c:v>
                </c:pt>
                <c:pt idx="6">
                  <c:v>-0.70430675930070663</c:v>
                </c:pt>
              </c:numCache>
            </c:numRef>
          </c:val>
          <c:smooth val="0"/>
        </c:ser>
        <c:dLbls>
          <c:showLegendKey val="0"/>
          <c:showVal val="1"/>
          <c:showCatName val="0"/>
          <c:showSerName val="0"/>
          <c:showPercent val="0"/>
          <c:showBubbleSize val="0"/>
        </c:dLbls>
        <c:marker val="1"/>
        <c:smooth val="0"/>
        <c:axId val="148984576"/>
        <c:axId val="148990976"/>
      </c:lineChart>
      <c:catAx>
        <c:axId val="148984576"/>
        <c:scaling>
          <c:orientation val="minMax"/>
        </c:scaling>
        <c:delete val="0"/>
        <c:axPos val="b"/>
        <c:numFmt formatCode="General" sourceLinked="1"/>
        <c:majorTickMark val="none"/>
        <c:minorTickMark val="none"/>
        <c:tickLblPos val="nextTo"/>
        <c:txPr>
          <a:bodyPr/>
          <a:lstStyle/>
          <a:p>
            <a:pPr>
              <a:defRPr sz="1050" b="1"/>
            </a:pPr>
            <a:endParaRPr lang="bg-BG"/>
          </a:p>
        </c:txPr>
        <c:crossAx val="148990976"/>
        <c:crosses val="autoZero"/>
        <c:auto val="1"/>
        <c:lblAlgn val="ctr"/>
        <c:lblOffset val="100"/>
        <c:noMultiLvlLbl val="0"/>
      </c:catAx>
      <c:valAx>
        <c:axId val="148990976"/>
        <c:scaling>
          <c:orientation val="minMax"/>
        </c:scaling>
        <c:delete val="1"/>
        <c:axPos val="l"/>
        <c:numFmt formatCode="0.0%" sourceLinked="1"/>
        <c:majorTickMark val="out"/>
        <c:minorTickMark val="none"/>
        <c:tickLblPos val="none"/>
        <c:crossAx val="1489845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FINAL!$A$101</c:f>
              <c:strCache>
                <c:ptCount val="1"/>
                <c:pt idx="0">
                  <c:v>Дългосрочни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cat>
            <c:strRef>
              <c:f>FINAL!$B$100:$C$100</c:f>
              <c:strCache>
                <c:ptCount val="2"/>
                <c:pt idx="0">
                  <c:v>2010 г.</c:v>
                </c:pt>
                <c:pt idx="1">
                  <c:v>2011 г.</c:v>
                </c:pt>
              </c:strCache>
            </c:strRef>
          </c:cat>
          <c:val>
            <c:numRef>
              <c:f>FINAL!$B$101:$C$101</c:f>
              <c:numCache>
                <c:formatCode>0.000</c:formatCode>
                <c:ptCount val="2"/>
                <c:pt idx="0">
                  <c:v>75.162000000000006</c:v>
                </c:pt>
                <c:pt idx="1">
                  <c:v>74.359000000000009</c:v>
                </c:pt>
              </c:numCache>
            </c:numRef>
          </c:val>
        </c:ser>
        <c:ser>
          <c:idx val="1"/>
          <c:order val="1"/>
          <c:tx>
            <c:strRef>
              <c:f>FINAL!$A$102</c:f>
              <c:strCache>
                <c:ptCount val="1"/>
                <c:pt idx="0">
                  <c:v>Краткосрочни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cat>
            <c:strRef>
              <c:f>FINAL!$B$100:$C$100</c:f>
              <c:strCache>
                <c:ptCount val="2"/>
                <c:pt idx="0">
                  <c:v>2010 г.</c:v>
                </c:pt>
                <c:pt idx="1">
                  <c:v>2011 г.</c:v>
                </c:pt>
              </c:strCache>
            </c:strRef>
          </c:cat>
          <c:val>
            <c:numRef>
              <c:f>FINAL!$B$102:$C$102</c:f>
              <c:numCache>
                <c:formatCode>0.000</c:formatCode>
                <c:ptCount val="2"/>
                <c:pt idx="0">
                  <c:v>82.724999999999994</c:v>
                </c:pt>
                <c:pt idx="1">
                  <c:v>88.719999999999985</c:v>
                </c:pt>
              </c:numCache>
            </c:numRef>
          </c:val>
        </c:ser>
        <c:dLbls>
          <c:showLegendKey val="0"/>
          <c:showVal val="0"/>
          <c:showCatName val="0"/>
          <c:showSerName val="0"/>
          <c:showPercent val="0"/>
          <c:showBubbleSize val="0"/>
        </c:dLbls>
        <c:gapWidth val="150"/>
        <c:axId val="149026304"/>
        <c:axId val="149027840"/>
      </c:barChart>
      <c:lineChart>
        <c:grouping val="standard"/>
        <c:varyColors val="0"/>
        <c:ser>
          <c:idx val="2"/>
          <c:order val="2"/>
          <c:tx>
            <c:strRef>
              <c:f>FINAL!$A$103</c:f>
              <c:strCache>
                <c:ptCount val="1"/>
                <c:pt idx="0">
                  <c:v>темп, %</c:v>
                </c:pt>
              </c:strCache>
            </c:strRef>
          </c:tx>
          <c:cat>
            <c:strRef>
              <c:f>FINAL!$B$100:$C$100</c:f>
              <c:strCache>
                <c:ptCount val="2"/>
                <c:pt idx="0">
                  <c:v>2010 г.</c:v>
                </c:pt>
                <c:pt idx="1">
                  <c:v>2011 г.</c:v>
                </c:pt>
              </c:strCache>
            </c:strRef>
          </c:cat>
          <c:val>
            <c:numRef>
              <c:f>FINAL!$B$103:$C$103</c:f>
              <c:numCache>
                <c:formatCode>0.0%</c:formatCode>
                <c:ptCount val="2"/>
                <c:pt idx="0">
                  <c:v>-1.0683590112024657E-2</c:v>
                </c:pt>
                <c:pt idx="1">
                  <c:v>7.2469023874282154E-2</c:v>
                </c:pt>
              </c:numCache>
            </c:numRef>
          </c:val>
          <c:smooth val="0"/>
        </c:ser>
        <c:dLbls>
          <c:showLegendKey val="0"/>
          <c:showVal val="0"/>
          <c:showCatName val="0"/>
          <c:showSerName val="0"/>
          <c:showPercent val="0"/>
          <c:showBubbleSize val="0"/>
        </c:dLbls>
        <c:marker val="1"/>
        <c:smooth val="0"/>
        <c:axId val="149101184"/>
        <c:axId val="149099648"/>
      </c:lineChart>
      <c:catAx>
        <c:axId val="149026304"/>
        <c:scaling>
          <c:orientation val="minMax"/>
        </c:scaling>
        <c:delete val="0"/>
        <c:axPos val="b"/>
        <c:majorTickMark val="none"/>
        <c:minorTickMark val="none"/>
        <c:tickLblPos val="nextTo"/>
        <c:crossAx val="149027840"/>
        <c:crosses val="autoZero"/>
        <c:auto val="1"/>
        <c:lblAlgn val="ctr"/>
        <c:lblOffset val="100"/>
        <c:noMultiLvlLbl val="0"/>
      </c:catAx>
      <c:valAx>
        <c:axId val="149027840"/>
        <c:scaling>
          <c:orientation val="minMax"/>
        </c:scaling>
        <c:delete val="0"/>
        <c:axPos val="l"/>
        <c:majorGridlines/>
        <c:title>
          <c:tx>
            <c:rich>
              <a:bodyPr/>
              <a:lstStyle/>
              <a:p>
                <a:pPr>
                  <a:defRPr/>
                </a:pPr>
                <a:r>
                  <a:rPr lang="bg-BG"/>
                  <a:t>млрд.лв.</a:t>
                </a:r>
                <a:endParaRPr lang="en-US"/>
              </a:p>
            </c:rich>
          </c:tx>
          <c:overlay val="0"/>
        </c:title>
        <c:numFmt formatCode="0.000" sourceLinked="1"/>
        <c:majorTickMark val="none"/>
        <c:minorTickMark val="none"/>
        <c:tickLblPos val="nextTo"/>
        <c:crossAx val="149026304"/>
        <c:crosses val="autoZero"/>
        <c:crossBetween val="between"/>
      </c:valAx>
      <c:valAx>
        <c:axId val="149099648"/>
        <c:scaling>
          <c:orientation val="minMax"/>
        </c:scaling>
        <c:delete val="0"/>
        <c:axPos val="r"/>
        <c:numFmt formatCode="0.0%" sourceLinked="1"/>
        <c:majorTickMark val="out"/>
        <c:minorTickMark val="none"/>
        <c:tickLblPos val="nextTo"/>
        <c:crossAx val="149101184"/>
        <c:crosses val="max"/>
        <c:crossBetween val="between"/>
      </c:valAx>
      <c:catAx>
        <c:axId val="149101184"/>
        <c:scaling>
          <c:orientation val="minMax"/>
        </c:scaling>
        <c:delete val="1"/>
        <c:axPos val="b"/>
        <c:majorTickMark val="out"/>
        <c:minorTickMark val="none"/>
        <c:tickLblPos val="nextTo"/>
        <c:crossAx val="14909964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6272902250854996"/>
          <c:y val="0"/>
          <c:w val="0.68474572496619779"/>
          <c:h val="1"/>
        </c:manualLayout>
      </c:layout>
      <c:bar3DChart>
        <c:barDir val="bar"/>
        <c:grouping val="clustered"/>
        <c:varyColors val="0"/>
        <c:ser>
          <c:idx val="0"/>
          <c:order val="0"/>
          <c:tx>
            <c:strRef>
              <c:f>Sheet3!$K$2</c:f>
              <c:strCache>
                <c:ptCount val="1"/>
                <c:pt idx="0">
                  <c:v>2005 г.</c:v>
                </c:pt>
              </c:strCache>
            </c:strRef>
          </c:tx>
          <c:invertIfNegative val="0"/>
          <c:dLbls>
            <c:dLbl>
              <c:idx val="1"/>
              <c:layout>
                <c:manualLayout>
                  <c:x val="0"/>
                  <c:y val="1.3560282576618206E-2"/>
                </c:manualLayout>
              </c:layout>
              <c:showLegendKey val="0"/>
              <c:showVal val="1"/>
              <c:showCatName val="0"/>
              <c:showSerName val="0"/>
              <c:showPercent val="0"/>
              <c:showBubbleSize val="0"/>
            </c:dLbl>
            <c:dLbl>
              <c:idx val="2"/>
              <c:layout>
                <c:manualLayout>
                  <c:x val="0"/>
                  <c:y val="6.9264050376234704E-3"/>
                </c:manualLayout>
              </c:layout>
              <c:showLegendKey val="0"/>
              <c:showVal val="1"/>
              <c:showCatName val="0"/>
              <c:showSerName val="0"/>
              <c:showPercent val="0"/>
              <c:showBubbleSize val="0"/>
            </c:dLbl>
            <c:dLbl>
              <c:idx val="4"/>
              <c:layout>
                <c:manualLayout>
                  <c:x val="0"/>
                  <c:y val="6.6334991708126038E-3"/>
                </c:manualLayout>
              </c:layout>
              <c:showLegendKey val="0"/>
              <c:showVal val="1"/>
              <c:showCatName val="0"/>
              <c:showSerName val="0"/>
              <c:showPercent val="0"/>
              <c:showBubbleSize val="0"/>
            </c:dLbl>
            <c:dLbl>
              <c:idx val="5"/>
              <c:layout>
                <c:manualLayout>
                  <c:x val="0"/>
                  <c:y val="6.6334991708126038E-3"/>
                </c:manualLayout>
              </c:layout>
              <c:showLegendKey val="0"/>
              <c:showVal val="1"/>
              <c:showCatName val="0"/>
              <c:showSerName val="0"/>
              <c:showPercent val="0"/>
              <c:showBubbleSize val="0"/>
            </c:dLbl>
            <c:dLbl>
              <c:idx val="6"/>
              <c:layout>
                <c:manualLayout>
                  <c:x val="0"/>
                  <c:y val="9.9502487562189053E-3"/>
                </c:manualLayout>
              </c:layout>
              <c:showLegendKey val="0"/>
              <c:showVal val="1"/>
              <c:showCatName val="0"/>
              <c:showSerName val="0"/>
              <c:showPercent val="0"/>
              <c:showBubbleSize val="0"/>
            </c:dLbl>
            <c:dLbl>
              <c:idx val="8"/>
              <c:layout>
                <c:manualLayout>
                  <c:x val="0"/>
                  <c:y val="9.950248756218905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Sheet3!$J$3:$J$16</c:f>
              <c:strCache>
                <c:ptCount val="10"/>
                <c:pt idx="0">
                  <c:v>Доставчици</c:v>
                </c:pt>
                <c:pt idx="1">
                  <c:v>Финансови предприятия</c:v>
                </c:pt>
                <c:pt idx="2">
                  <c:v>Предприятия от група</c:v>
                </c:pt>
                <c:pt idx="3">
                  <c:v>Данъчни задължения</c:v>
                </c:pt>
                <c:pt idx="4">
                  <c:v>Персонал</c:v>
                </c:pt>
                <c:pt idx="5">
                  <c:v>Осигурителни задължения</c:v>
                </c:pt>
                <c:pt idx="6">
                  <c:v>Облигационни заеми</c:v>
                </c:pt>
                <c:pt idx="7">
                  <c:v>По полици</c:v>
                </c:pt>
                <c:pt idx="8">
                  <c:v>Аванси</c:v>
                </c:pt>
                <c:pt idx="9">
                  <c:v>Други</c:v>
                </c:pt>
              </c:strCache>
            </c:strRef>
          </c:cat>
          <c:val>
            <c:numRef>
              <c:f>Sheet3!$K$3:$K$16</c:f>
              <c:numCache>
                <c:formatCode>0.0</c:formatCode>
                <c:ptCount val="10"/>
                <c:pt idx="0">
                  <c:v>27.05</c:v>
                </c:pt>
                <c:pt idx="1">
                  <c:v>22.27</c:v>
                </c:pt>
                <c:pt idx="2">
                  <c:v>20</c:v>
                </c:pt>
                <c:pt idx="3">
                  <c:v>4.5</c:v>
                </c:pt>
                <c:pt idx="4">
                  <c:v>1.87</c:v>
                </c:pt>
                <c:pt idx="5">
                  <c:v>1.04</c:v>
                </c:pt>
                <c:pt idx="6">
                  <c:v>0.46</c:v>
                </c:pt>
                <c:pt idx="7">
                  <c:v>0</c:v>
                </c:pt>
                <c:pt idx="8">
                  <c:v>0</c:v>
                </c:pt>
                <c:pt idx="9">
                  <c:v>22.82</c:v>
                </c:pt>
              </c:numCache>
            </c:numRef>
          </c:val>
        </c:ser>
        <c:ser>
          <c:idx val="5"/>
          <c:order val="1"/>
          <c:tx>
            <c:strRef>
              <c:f>Sheet3!$P$2</c:f>
              <c:strCache>
                <c:ptCount val="1"/>
                <c:pt idx="0">
                  <c:v>2010 г.</c:v>
                </c:pt>
              </c:strCache>
            </c:strRef>
          </c:tx>
          <c:invertIfNegative val="0"/>
          <c:dLbls>
            <c:dLbl>
              <c:idx val="1"/>
              <c:layout>
                <c:manualLayout>
                  <c:x val="0"/>
                  <c:y val="6.6334991708126038E-3"/>
                </c:manualLayout>
              </c:layout>
              <c:showLegendKey val="0"/>
              <c:showVal val="1"/>
              <c:showCatName val="0"/>
              <c:showSerName val="0"/>
              <c:showPercent val="0"/>
              <c:showBubbleSize val="0"/>
            </c:dLbl>
            <c:dLbl>
              <c:idx val="2"/>
              <c:layout>
                <c:manualLayout>
                  <c:x val="0"/>
                  <c:y val="6.6334991708126038E-3"/>
                </c:manualLayout>
              </c:layout>
              <c:showLegendKey val="0"/>
              <c:showVal val="1"/>
              <c:showCatName val="0"/>
              <c:showSerName val="0"/>
              <c:showPercent val="0"/>
              <c:showBubbleSize val="0"/>
            </c:dLbl>
            <c:dLbl>
              <c:idx val="8"/>
              <c:layout>
                <c:manualLayout>
                  <c:x val="0"/>
                  <c:y val="6.6334991708126038E-3"/>
                </c:manualLayout>
              </c:layout>
              <c:showLegendKey val="0"/>
              <c:showVal val="1"/>
              <c:showCatName val="0"/>
              <c:showSerName val="0"/>
              <c:showPercent val="0"/>
              <c:showBubbleSize val="0"/>
            </c:dLbl>
            <c:dLbl>
              <c:idx val="9"/>
              <c:layout>
                <c:manualLayout>
                  <c:x val="8.948545861297539E-3"/>
                  <c:y val="-1.2161274658407157E-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Sheet3!$J$3:$J$16</c:f>
              <c:strCache>
                <c:ptCount val="10"/>
                <c:pt idx="0">
                  <c:v>Доставчици</c:v>
                </c:pt>
                <c:pt idx="1">
                  <c:v>Финансови предприятия</c:v>
                </c:pt>
                <c:pt idx="2">
                  <c:v>Предприятия от група</c:v>
                </c:pt>
                <c:pt idx="3">
                  <c:v>Данъчни задължения</c:v>
                </c:pt>
                <c:pt idx="4">
                  <c:v>Персонал</c:v>
                </c:pt>
                <c:pt idx="5">
                  <c:v>Осигурителни задължения</c:v>
                </c:pt>
                <c:pt idx="6">
                  <c:v>Облигационни заеми</c:v>
                </c:pt>
                <c:pt idx="7">
                  <c:v>По полици</c:v>
                </c:pt>
                <c:pt idx="8">
                  <c:v>Аванси</c:v>
                </c:pt>
                <c:pt idx="9">
                  <c:v>Други</c:v>
                </c:pt>
              </c:strCache>
            </c:strRef>
          </c:cat>
          <c:val>
            <c:numRef>
              <c:f>Sheet3!$P$3:$P$16</c:f>
              <c:numCache>
                <c:formatCode>0.0</c:formatCode>
                <c:ptCount val="10"/>
                <c:pt idx="0">
                  <c:v>19.100000000000001</c:v>
                </c:pt>
                <c:pt idx="1">
                  <c:v>29.52</c:v>
                </c:pt>
                <c:pt idx="2">
                  <c:v>23.479999999999993</c:v>
                </c:pt>
                <c:pt idx="3">
                  <c:v>2.5499999999999998</c:v>
                </c:pt>
                <c:pt idx="4">
                  <c:v>1.2</c:v>
                </c:pt>
                <c:pt idx="5">
                  <c:v>0.6000000000000002</c:v>
                </c:pt>
                <c:pt idx="6">
                  <c:v>1.37</c:v>
                </c:pt>
                <c:pt idx="7">
                  <c:v>0.2</c:v>
                </c:pt>
                <c:pt idx="8">
                  <c:v>3.57</c:v>
                </c:pt>
                <c:pt idx="9">
                  <c:v>18.420000000000002</c:v>
                </c:pt>
              </c:numCache>
            </c:numRef>
          </c:val>
        </c:ser>
        <c:ser>
          <c:idx val="6"/>
          <c:order val="2"/>
          <c:tx>
            <c:strRef>
              <c:f>Sheet3!$Q$2</c:f>
              <c:strCache>
                <c:ptCount val="1"/>
                <c:pt idx="0">
                  <c:v>2011 г.</c:v>
                </c:pt>
              </c:strCache>
            </c:strRef>
          </c:tx>
          <c:invertIfNegative val="0"/>
          <c:dLbls>
            <c:dLbl>
              <c:idx val="0"/>
              <c:layout>
                <c:manualLayout>
                  <c:x val="0"/>
                  <c:y val="-6.6334991708126038E-3"/>
                </c:manualLayout>
              </c:layout>
              <c:showLegendKey val="0"/>
              <c:showVal val="1"/>
              <c:showCatName val="0"/>
              <c:showSerName val="0"/>
              <c:showPercent val="0"/>
              <c:showBubbleSize val="0"/>
            </c:dLbl>
            <c:dLbl>
              <c:idx val="3"/>
              <c:layout>
                <c:manualLayout>
                  <c:x val="-4.4742729306487695E-3"/>
                  <c:y val="-6.633238009427926E-3"/>
                </c:manualLayout>
              </c:layout>
              <c:showLegendKey val="0"/>
              <c:showVal val="1"/>
              <c:showCatName val="0"/>
              <c:showSerName val="0"/>
              <c:showPercent val="0"/>
              <c:showBubbleSize val="0"/>
            </c:dLbl>
            <c:dLbl>
              <c:idx val="9"/>
              <c:layout>
                <c:manualLayout>
                  <c:x val="-6.7114093959731542E-3"/>
                  <c:y val="-1.32669983416252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Sheet3!$J$3:$J$16</c:f>
              <c:strCache>
                <c:ptCount val="10"/>
                <c:pt idx="0">
                  <c:v>Доставчици</c:v>
                </c:pt>
                <c:pt idx="1">
                  <c:v>Финансови предприятия</c:v>
                </c:pt>
                <c:pt idx="2">
                  <c:v>Предприятия от група</c:v>
                </c:pt>
                <c:pt idx="3">
                  <c:v>Данъчни задължения</c:v>
                </c:pt>
                <c:pt idx="4">
                  <c:v>Персонал</c:v>
                </c:pt>
                <c:pt idx="5">
                  <c:v>Осигурителни задължения</c:v>
                </c:pt>
                <c:pt idx="6">
                  <c:v>Облигационни заеми</c:v>
                </c:pt>
                <c:pt idx="7">
                  <c:v>По полици</c:v>
                </c:pt>
                <c:pt idx="8">
                  <c:v>Аванси</c:v>
                </c:pt>
                <c:pt idx="9">
                  <c:v>Други</c:v>
                </c:pt>
              </c:strCache>
            </c:strRef>
          </c:cat>
          <c:val>
            <c:numRef>
              <c:f>Sheet3!$Q$3:$Q$16</c:f>
              <c:numCache>
                <c:formatCode>0.0</c:formatCode>
                <c:ptCount val="10"/>
                <c:pt idx="0">
                  <c:v>18.760000000000002</c:v>
                </c:pt>
                <c:pt idx="1">
                  <c:v>29.97</c:v>
                </c:pt>
                <c:pt idx="2">
                  <c:v>23.6</c:v>
                </c:pt>
                <c:pt idx="3">
                  <c:v>2.17</c:v>
                </c:pt>
                <c:pt idx="4">
                  <c:v>1.1800000000000004</c:v>
                </c:pt>
                <c:pt idx="5">
                  <c:v>0.62000000000000022</c:v>
                </c:pt>
                <c:pt idx="6">
                  <c:v>0.91</c:v>
                </c:pt>
                <c:pt idx="7">
                  <c:v>0.18000000000000005</c:v>
                </c:pt>
                <c:pt idx="8">
                  <c:v>3.4699999999999998</c:v>
                </c:pt>
                <c:pt idx="9">
                  <c:v>19.14</c:v>
                </c:pt>
              </c:numCache>
            </c:numRef>
          </c:val>
        </c:ser>
        <c:dLbls>
          <c:showLegendKey val="0"/>
          <c:showVal val="1"/>
          <c:showCatName val="0"/>
          <c:showSerName val="0"/>
          <c:showPercent val="0"/>
          <c:showBubbleSize val="0"/>
        </c:dLbls>
        <c:gapWidth val="150"/>
        <c:shape val="box"/>
        <c:axId val="149146624"/>
        <c:axId val="149164800"/>
        <c:axId val="0"/>
      </c:bar3DChart>
      <c:catAx>
        <c:axId val="149146624"/>
        <c:scaling>
          <c:orientation val="maxMin"/>
        </c:scaling>
        <c:delete val="0"/>
        <c:axPos val="l"/>
        <c:majorTickMark val="none"/>
        <c:minorTickMark val="none"/>
        <c:tickLblPos val="nextTo"/>
        <c:txPr>
          <a:bodyPr/>
          <a:lstStyle/>
          <a:p>
            <a:pPr>
              <a:defRPr sz="1050"/>
            </a:pPr>
            <a:endParaRPr lang="bg-BG"/>
          </a:p>
        </c:txPr>
        <c:crossAx val="149164800"/>
        <c:crosses val="autoZero"/>
        <c:auto val="1"/>
        <c:lblAlgn val="ctr"/>
        <c:lblOffset val="100"/>
        <c:noMultiLvlLbl val="0"/>
      </c:catAx>
      <c:valAx>
        <c:axId val="149164800"/>
        <c:scaling>
          <c:orientation val="minMax"/>
        </c:scaling>
        <c:delete val="1"/>
        <c:axPos val="t"/>
        <c:numFmt formatCode="0.0" sourceLinked="1"/>
        <c:majorTickMark val="out"/>
        <c:minorTickMark val="none"/>
        <c:tickLblPos val="none"/>
        <c:crossAx val="149146624"/>
        <c:crosses val="autoZero"/>
        <c:crossBetween val="between"/>
      </c:valAx>
    </c:plotArea>
    <c:legend>
      <c:legendPos val="t"/>
      <c:layout>
        <c:manualLayout>
          <c:xMode val="edge"/>
          <c:yMode val="edge"/>
          <c:x val="0.60937413024714193"/>
          <c:y val="0.4414908683289589"/>
          <c:w val="0.12972957925713832"/>
          <c:h val="0.25026218496881436"/>
        </c:manualLayout>
      </c:layout>
      <c:overlay val="0"/>
      <c:txPr>
        <a:bodyPr/>
        <a:lstStyle/>
        <a:p>
          <a:pPr>
            <a:defRPr sz="1100" b="1"/>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ЗАДЪЛЖЕНИЯ НА ПРЕДПРИЯТИЯТА</vt:lpstr>
    </vt:vector>
  </TitlesOfParts>
  <Company>BIA</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ЗАДЪЛЖЕНИЯ НА ПРЕДПРИЯТИЯТА</dc:title>
  <dc:creator>Public Realations</dc:creator>
  <cp:lastModifiedBy>Ани Алашка</cp:lastModifiedBy>
  <cp:revision>3</cp:revision>
  <cp:lastPrinted>2013-01-14T08:11:00Z</cp:lastPrinted>
  <dcterms:created xsi:type="dcterms:W3CDTF">2013-01-14T08:13:00Z</dcterms:created>
  <dcterms:modified xsi:type="dcterms:W3CDTF">2013-01-14T14:07:00Z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-71542019</vt:i4>
  </property>
  <property fmtid="{D5CDD505-2E9C-101B-9397-08002B2CF9AE}" pid="4" name="_ReviewCycleID">
    <vt:i4>-71542019</vt:i4>
  </property>
  <property fmtid="{D5CDD505-2E9C-101B-9397-08002B2CF9AE}" pid="5" name="_EmailEntryID">
    <vt:lpwstr>00000000425F1FAAFD0C3B4F8185A7F45936E1F9C42D2F00</vt:lpwstr>
  </property>
  <property fmtid="{D5CDD505-2E9C-101B-9397-08002B2CF9AE}" pid="6" name="_EmailStoreID">
    <vt:lpwstr>0000000038A1BB1005E5101AA1BB08002B2A56C200006D737073742E646C6C00000000004E495441F9BFB80100AA0037D96E0000000044003A005C006D00610069006C005C004F00750074006C006F006F006B002E007000730074000000</vt:lpwstr>
  </property>
  <property fmtid="{D5CDD505-2E9C-101B-9397-08002B2CF9AE}" pid="7" name="_EmailStoreID0">
    <vt:lpwstr>0000000038A1BB1005E5101AA1BB08002B2A56C200006D737073742E646C6C00000000004E495441F9BFB80100AA0037D96E0000000043003A005C00550073006500720073005C004A006F0068006E005C0041007000700044006100740061005C004C006F00630061006C005C004D006900630072006F0073006F006600740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ReviewingToolsShownOnce">
    <vt:lpwstr/>
  </property>
</Properties>
</file>