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B4" w:rsidRPr="00615AB4" w:rsidRDefault="00615AB4" w:rsidP="00615AB4">
      <w:pPr>
        <w:jc w:val="center"/>
        <w:rPr>
          <w:color w:val="1F4E79" w:themeColor="accent1" w:themeShade="80"/>
        </w:rPr>
      </w:pPr>
      <w:r w:rsidRPr="00615AB4">
        <w:rPr>
          <w:b/>
          <w:color w:val="1F4E79" w:themeColor="accent1" w:themeShade="80"/>
          <w:sz w:val="24"/>
        </w:rPr>
        <w:t>Регламентираните основи за определяне на размера на таксата за битови отпадъци, които общинският съвет може да приеме, са:</w:t>
      </w:r>
    </w:p>
    <w:tbl>
      <w:tblPr>
        <w:tblStyle w:val="TableGrid"/>
        <w:tblW w:w="14742" w:type="dxa"/>
        <w:jc w:val="center"/>
        <w:tblLook w:val="04A0" w:firstRow="1" w:lastRow="0" w:firstColumn="1" w:lastColumn="0" w:noHBand="0" w:noVBand="1"/>
      </w:tblPr>
      <w:tblGrid>
        <w:gridCol w:w="4820"/>
        <w:gridCol w:w="4961"/>
        <w:gridCol w:w="4961"/>
      </w:tblGrid>
      <w:tr w:rsidR="00615AB4" w:rsidRPr="00615AB4" w:rsidTr="00615AB4">
        <w:trPr>
          <w:trHeight w:val="461"/>
          <w:jc w:val="center"/>
        </w:trPr>
        <w:tc>
          <w:tcPr>
            <w:tcW w:w="4820" w:type="dxa"/>
            <w:tcBorders>
              <w:top w:val="nil"/>
              <w:left w:val="nil"/>
              <w:right w:val="single" w:sz="12" w:space="0" w:color="2E74B5" w:themeColor="accent1" w:themeShade="BF"/>
            </w:tcBorders>
            <w:shd w:val="clear" w:color="auto" w:fill="auto"/>
          </w:tcPr>
          <w:p w:rsidR="00615AB4" w:rsidRPr="00615AB4" w:rsidRDefault="00615AB4" w:rsidP="00615AB4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shd w:val="clear" w:color="auto" w:fill="auto"/>
            <w:vAlign w:val="center"/>
          </w:tcPr>
          <w:p w:rsidR="00615AB4" w:rsidRPr="00615AB4" w:rsidRDefault="00615AB4" w:rsidP="00615AB4">
            <w:pPr>
              <w:jc w:val="center"/>
              <w:rPr>
                <w:b/>
              </w:rPr>
            </w:pPr>
            <w:r w:rsidRPr="00615AB4">
              <w:rPr>
                <w:b/>
              </w:rPr>
              <w:t>ПРЕДИМСТВА</w:t>
            </w:r>
          </w:p>
        </w:tc>
        <w:tc>
          <w:tcPr>
            <w:tcW w:w="4961" w:type="dxa"/>
            <w:tcBorders>
              <w:top w:val="single" w:sz="12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615AB4" w:rsidRPr="00615AB4" w:rsidRDefault="00615AB4" w:rsidP="00615AB4">
            <w:pPr>
              <w:jc w:val="center"/>
              <w:rPr>
                <w:b/>
              </w:rPr>
            </w:pPr>
            <w:r w:rsidRPr="00615AB4">
              <w:rPr>
                <w:b/>
              </w:rPr>
              <w:t>НЕДОСТАТЪЦИ</w:t>
            </w:r>
          </w:p>
        </w:tc>
      </w:tr>
      <w:tr w:rsidR="00615AB4" w:rsidRPr="00615AB4" w:rsidTr="00615AB4">
        <w:trPr>
          <w:jc w:val="center"/>
        </w:trPr>
        <w:tc>
          <w:tcPr>
            <w:tcW w:w="14742" w:type="dxa"/>
            <w:gridSpan w:val="3"/>
            <w:tcBorders>
              <w:top w:val="single" w:sz="6" w:space="0" w:color="2E74B5" w:themeColor="accent1" w:themeShade="BF"/>
              <w:left w:val="single" w:sz="12" w:space="0" w:color="2E74B5" w:themeColor="accent1" w:themeShade="BF"/>
              <w:bottom w:val="single" w:sz="6" w:space="0" w:color="2E74B5" w:themeColor="accent1" w:themeShade="BF"/>
              <w:right w:val="single" w:sz="12" w:space="0" w:color="2E74B5" w:themeColor="accent1" w:themeShade="BF"/>
            </w:tcBorders>
            <w:shd w:val="clear" w:color="auto" w:fill="2E74B5" w:themeFill="accent1" w:themeFillShade="BF"/>
          </w:tcPr>
          <w:p w:rsidR="00615AB4" w:rsidRPr="00615AB4" w:rsidRDefault="00615AB4">
            <w:pPr>
              <w:rPr>
                <w:b/>
                <w:color w:val="FFFFFF" w:themeColor="background1"/>
                <w:sz w:val="24"/>
              </w:rPr>
            </w:pPr>
            <w:r w:rsidRPr="00615AB4">
              <w:rPr>
                <w:b/>
                <w:color w:val="FFFFFF" w:themeColor="background1"/>
                <w:sz w:val="24"/>
              </w:rPr>
              <w:t>1. За услугата по събиране и транспортиране на битови отпадъци до съоръжения и инсталации за тяхното третиране:</w:t>
            </w:r>
          </w:p>
        </w:tc>
      </w:tr>
      <w:tr w:rsidR="00615AB4" w:rsidTr="00615AB4">
        <w:trPr>
          <w:jc w:val="center"/>
        </w:trPr>
        <w:tc>
          <w:tcPr>
            <w:tcW w:w="482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</w:tcPr>
          <w:p w:rsidR="00615AB4" w:rsidRDefault="00615AB4">
            <w:r w:rsidRPr="00615AB4">
              <w:t>а) количество битови отпадъци - индивидуално измерено за имота;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</w:tcPr>
          <w:p w:rsidR="00615AB4" w:rsidRDefault="00615AB4" w:rsidP="00615AB4">
            <w:pPr>
              <w:pStyle w:val="ListParagraph"/>
              <w:numPr>
                <w:ilvl w:val="0"/>
                <w:numId w:val="2"/>
              </w:numPr>
              <w:ind w:left="233" w:hanging="233"/>
            </w:pPr>
            <w:r>
              <w:t xml:space="preserve">спазва се принципа «Замърсителят плаща», </w:t>
            </w:r>
          </w:p>
          <w:p w:rsidR="00615AB4" w:rsidRDefault="00615AB4" w:rsidP="00615AB4">
            <w:pPr>
              <w:pStyle w:val="ListParagraph"/>
              <w:numPr>
                <w:ilvl w:val="0"/>
                <w:numId w:val="2"/>
              </w:numPr>
              <w:ind w:left="233" w:hanging="233"/>
            </w:pPr>
            <w:r>
              <w:t xml:space="preserve">справедливо се определя цената на услугата, </w:t>
            </w:r>
          </w:p>
          <w:p w:rsidR="00615AB4" w:rsidRDefault="00615AB4" w:rsidP="00615AB4">
            <w:pPr>
              <w:pStyle w:val="ListParagraph"/>
              <w:numPr>
                <w:ilvl w:val="0"/>
                <w:numId w:val="2"/>
              </w:numPr>
              <w:ind w:left="233" w:hanging="233"/>
            </w:pPr>
            <w:r>
              <w:t xml:space="preserve">стимулира намаляването на количеството отпадъци, </w:t>
            </w:r>
          </w:p>
          <w:p w:rsidR="00615AB4" w:rsidRDefault="00615AB4" w:rsidP="00615AB4">
            <w:pPr>
              <w:pStyle w:val="ListParagraph"/>
              <w:numPr>
                <w:ilvl w:val="0"/>
                <w:numId w:val="2"/>
              </w:numPr>
              <w:ind w:left="233" w:hanging="233"/>
            </w:pPr>
            <w:r>
              <w:t>стимулира разделното събиране и оползотворяване (битово компостиране)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12" w:space="0" w:color="2E74B5" w:themeColor="accent1" w:themeShade="BF"/>
            </w:tcBorders>
          </w:tcPr>
          <w:p w:rsidR="00615AB4" w:rsidRDefault="00615AB4" w:rsidP="00615AB4">
            <w:pPr>
              <w:pStyle w:val="ListParagraph"/>
              <w:numPr>
                <w:ilvl w:val="0"/>
                <w:numId w:val="3"/>
              </w:numPr>
              <w:ind w:left="295" w:hanging="295"/>
            </w:pPr>
            <w:r>
              <w:t>трудности при отчитането</w:t>
            </w:r>
          </w:p>
          <w:p w:rsidR="00615AB4" w:rsidRDefault="00615AB4" w:rsidP="00615AB4">
            <w:pPr>
              <w:pStyle w:val="ListParagraph"/>
              <w:numPr>
                <w:ilvl w:val="0"/>
                <w:numId w:val="3"/>
              </w:numPr>
              <w:ind w:left="295" w:hanging="295"/>
            </w:pPr>
            <w:r>
              <w:t>индивидуалното измерване е скъпа и сложна за организиране и отчитане система, трудна за осъществяване.</w:t>
            </w:r>
          </w:p>
        </w:tc>
        <w:bookmarkStart w:id="0" w:name="_GoBack"/>
        <w:bookmarkEnd w:id="0"/>
      </w:tr>
      <w:tr w:rsidR="00615AB4" w:rsidTr="00615AB4">
        <w:trPr>
          <w:jc w:val="center"/>
        </w:trPr>
        <w:tc>
          <w:tcPr>
            <w:tcW w:w="4820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</w:tcPr>
          <w:p w:rsidR="00615AB4" w:rsidRDefault="00615AB4">
            <w:r w:rsidRPr="00615AB4">
              <w:t>б) количество битови отпадъци за имота, определено съобразно броя и вместимостта на необходимите съдове за събиране на битовите отпадъци;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</w:tcPr>
          <w:p w:rsidR="00615AB4" w:rsidRDefault="00615AB4" w:rsidP="00615AB4">
            <w:pPr>
              <w:pStyle w:val="ListParagraph"/>
              <w:numPr>
                <w:ilvl w:val="0"/>
                <w:numId w:val="5"/>
              </w:numPr>
              <w:ind w:left="233" w:hanging="233"/>
            </w:pPr>
            <w:r>
              <w:t xml:space="preserve">спазва се принципа «Замърсителят плаща», </w:t>
            </w:r>
          </w:p>
          <w:p w:rsidR="00615AB4" w:rsidRDefault="00615AB4" w:rsidP="00615AB4">
            <w:pPr>
              <w:pStyle w:val="ListParagraph"/>
              <w:numPr>
                <w:ilvl w:val="0"/>
                <w:numId w:val="5"/>
              </w:numPr>
              <w:ind w:left="233" w:hanging="233"/>
            </w:pPr>
            <w:r>
              <w:t xml:space="preserve">справедливо се определя цената на услугата, </w:t>
            </w:r>
          </w:p>
          <w:p w:rsidR="00615AB4" w:rsidRDefault="00615AB4" w:rsidP="00615AB4">
            <w:pPr>
              <w:pStyle w:val="ListParagraph"/>
              <w:numPr>
                <w:ilvl w:val="0"/>
                <w:numId w:val="5"/>
              </w:numPr>
              <w:ind w:left="233" w:hanging="233"/>
            </w:pPr>
            <w:r>
              <w:t xml:space="preserve">стимулира намаляването на количеството отпадъци, </w:t>
            </w:r>
          </w:p>
          <w:p w:rsidR="00615AB4" w:rsidRDefault="00615AB4" w:rsidP="00615AB4">
            <w:pPr>
              <w:pStyle w:val="ListParagraph"/>
              <w:numPr>
                <w:ilvl w:val="0"/>
                <w:numId w:val="5"/>
              </w:numPr>
              <w:ind w:left="233" w:hanging="233"/>
            </w:pPr>
            <w:r>
              <w:t>лесно за отчитане</w:t>
            </w:r>
          </w:p>
          <w:p w:rsidR="00615AB4" w:rsidRDefault="00615AB4" w:rsidP="00615AB4">
            <w:pPr>
              <w:pStyle w:val="ListParagraph"/>
              <w:numPr>
                <w:ilvl w:val="0"/>
                <w:numId w:val="5"/>
              </w:numPr>
              <w:ind w:left="233" w:hanging="233"/>
            </w:pPr>
            <w:r>
              <w:t>стимулира разделното събиране и оползотворяване (битово компостиране)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12" w:space="0" w:color="2E74B5" w:themeColor="accent1" w:themeShade="BF"/>
            </w:tcBorders>
          </w:tcPr>
          <w:p w:rsidR="00615AB4" w:rsidRDefault="00615AB4">
            <w:r w:rsidRPr="00615AB4">
              <w:t>невинаги може да има съответствие между вместимостта на съдовете и количеството отпадък, който се генерира, липса на контрол за ползване на съдовете само от замърсителя</w:t>
            </w:r>
          </w:p>
        </w:tc>
      </w:tr>
      <w:tr w:rsidR="00615AB4" w:rsidTr="00615AB4">
        <w:trPr>
          <w:jc w:val="center"/>
        </w:trPr>
        <w:tc>
          <w:tcPr>
            <w:tcW w:w="4820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</w:tcPr>
          <w:p w:rsidR="00615AB4" w:rsidRDefault="00615AB4">
            <w:r w:rsidRPr="00615AB4">
              <w:t>в) брой ползватели на услугата в имота - брой на лицата с настоящ или постоянен адрес в имота, брой на заетите лица в предприятията на територията в съответното населено място;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</w:tcPr>
          <w:p w:rsidR="00615AB4" w:rsidRDefault="00615AB4">
            <w:r w:rsidRPr="00615AB4">
              <w:t>относително улеснено администриране при ефективно налагане на режима на адресна регистрация, вкл., с деклариране и потвърждение от управителите на сгради в режим на етажна собственост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12" w:space="0" w:color="2E74B5" w:themeColor="accent1" w:themeShade="BF"/>
            </w:tcBorders>
          </w:tcPr>
          <w:p w:rsidR="00615AB4" w:rsidRDefault="00615AB4" w:rsidP="00615AB4">
            <w:pPr>
              <w:pStyle w:val="ListParagraph"/>
              <w:numPr>
                <w:ilvl w:val="0"/>
                <w:numId w:val="7"/>
              </w:numPr>
              <w:ind w:left="295" w:hanging="295"/>
            </w:pPr>
            <w:r>
              <w:t xml:space="preserve">трудно за администриране, </w:t>
            </w:r>
          </w:p>
          <w:p w:rsidR="00615AB4" w:rsidRDefault="00615AB4" w:rsidP="00615AB4">
            <w:pPr>
              <w:pStyle w:val="ListParagraph"/>
              <w:numPr>
                <w:ilvl w:val="0"/>
                <w:numId w:val="7"/>
              </w:numPr>
              <w:ind w:left="295" w:hanging="295"/>
            </w:pPr>
            <w:r>
              <w:t>в предприятията броя заети лица не е в пряка връзка с количеството,</w:t>
            </w:r>
          </w:p>
        </w:tc>
      </w:tr>
      <w:tr w:rsidR="00615AB4" w:rsidTr="00615AB4">
        <w:trPr>
          <w:jc w:val="center"/>
        </w:trPr>
        <w:tc>
          <w:tcPr>
            <w:tcW w:w="4820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</w:tcPr>
          <w:p w:rsidR="00615AB4" w:rsidRDefault="00615AB4">
            <w:r w:rsidRPr="00615AB4">
              <w:t>г) друг натурален показател: разгърната застроена и/или незастроена площ, използвано количество вода, изразходвана електрическа енергия;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</w:tcPr>
          <w:p w:rsidR="00615AB4" w:rsidRDefault="00615AB4"/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12" w:space="0" w:color="2E74B5" w:themeColor="accent1" w:themeShade="BF"/>
            </w:tcBorders>
          </w:tcPr>
          <w:p w:rsidR="00615AB4" w:rsidRDefault="00615AB4">
            <w:r w:rsidRPr="00615AB4">
              <w:t>Тези характеристики не са фактори за образуване на отпадъци. Липса на пряка връзка с количеството генерирани БО; различия в индивидуалното потребление на вода и ел.-енергия /за отопление и климатизация, поливни нужди, басейни, хигиенни навици и др./; ще се повиши сметката за ток,  вследствие отчитането и предоставяне на данни от доставчиците на вода и ел.-енергия за битови нужди; неприложими за предприятия с висока интензивност на потребление на ел.-енергия и вода.</w:t>
            </w:r>
          </w:p>
        </w:tc>
      </w:tr>
      <w:tr w:rsidR="00615AB4" w:rsidRPr="00615AB4" w:rsidTr="00615AB4">
        <w:trPr>
          <w:jc w:val="center"/>
        </w:trPr>
        <w:tc>
          <w:tcPr>
            <w:tcW w:w="14742" w:type="dxa"/>
            <w:gridSpan w:val="3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615AB4" w:rsidRPr="00615AB4" w:rsidRDefault="00615AB4">
            <w:pPr>
              <w:rPr>
                <w:b/>
                <w:color w:val="FFFFFF" w:themeColor="background1"/>
                <w:sz w:val="24"/>
              </w:rPr>
            </w:pPr>
            <w:r w:rsidRPr="00615AB4">
              <w:rPr>
                <w:b/>
                <w:color w:val="FFFFFF" w:themeColor="background1"/>
                <w:sz w:val="24"/>
              </w:rPr>
              <w:t>2. За услугата по третиране на битовите отпадъци в съоръжения и инсталации:</w:t>
            </w:r>
          </w:p>
        </w:tc>
      </w:tr>
      <w:tr w:rsidR="00615AB4" w:rsidTr="00615AB4">
        <w:trPr>
          <w:jc w:val="center"/>
        </w:trPr>
        <w:tc>
          <w:tcPr>
            <w:tcW w:w="4820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</w:tcPr>
          <w:p w:rsidR="00615AB4" w:rsidRPr="00615AB4" w:rsidRDefault="00615AB4">
            <w:r w:rsidRPr="00615AB4">
              <w:t>а) количество битови отпадъци - индивидуално измерено за имота;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</w:tcPr>
          <w:p w:rsidR="00615AB4" w:rsidRDefault="00615AB4" w:rsidP="00615AB4">
            <w:pPr>
              <w:pStyle w:val="ListParagraph"/>
              <w:numPr>
                <w:ilvl w:val="0"/>
                <w:numId w:val="9"/>
              </w:numPr>
              <w:ind w:left="233" w:hanging="233"/>
            </w:pPr>
            <w:r>
              <w:t xml:space="preserve">разходите за третирането са в пряка зависимост от количеството, </w:t>
            </w:r>
          </w:p>
          <w:p w:rsidR="00615AB4" w:rsidRDefault="00615AB4" w:rsidP="00615AB4">
            <w:pPr>
              <w:pStyle w:val="ListParagraph"/>
              <w:numPr>
                <w:ilvl w:val="0"/>
                <w:numId w:val="9"/>
              </w:numPr>
              <w:ind w:left="233" w:hanging="233"/>
            </w:pPr>
            <w:r>
              <w:t xml:space="preserve">справедливо се определя цената на услугата, </w:t>
            </w:r>
          </w:p>
          <w:p w:rsidR="00615AB4" w:rsidRDefault="00615AB4" w:rsidP="00615AB4">
            <w:pPr>
              <w:pStyle w:val="ListParagraph"/>
              <w:numPr>
                <w:ilvl w:val="0"/>
                <w:numId w:val="9"/>
              </w:numPr>
              <w:ind w:left="233" w:hanging="233"/>
            </w:pPr>
            <w:r>
              <w:t xml:space="preserve">стимулира намаляването на количеството отпадъци, </w:t>
            </w:r>
          </w:p>
          <w:p w:rsidR="00615AB4" w:rsidRDefault="00615AB4" w:rsidP="00615AB4">
            <w:pPr>
              <w:pStyle w:val="ListParagraph"/>
              <w:numPr>
                <w:ilvl w:val="0"/>
                <w:numId w:val="9"/>
              </w:numPr>
              <w:ind w:left="233" w:hanging="233"/>
            </w:pPr>
            <w:r>
              <w:lastRenderedPageBreak/>
              <w:t>стимулира разделното събиране и оползотворяване (битово компостиране)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12" w:space="0" w:color="2E74B5" w:themeColor="accent1" w:themeShade="BF"/>
            </w:tcBorders>
          </w:tcPr>
          <w:p w:rsidR="00615AB4" w:rsidRPr="00615AB4" w:rsidRDefault="00615AB4"/>
        </w:tc>
      </w:tr>
      <w:tr w:rsidR="00615AB4" w:rsidTr="00615AB4">
        <w:trPr>
          <w:jc w:val="center"/>
        </w:trPr>
        <w:tc>
          <w:tcPr>
            <w:tcW w:w="4820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</w:tcPr>
          <w:p w:rsidR="00615AB4" w:rsidRPr="00615AB4" w:rsidRDefault="00615AB4">
            <w:r w:rsidRPr="00615AB4">
              <w:lastRenderedPageBreak/>
              <w:t>б) количество битови отпадъци за имота, определено съобразно броя и вместимостта на необходимите съдове за събиране на битовите отпадъци;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</w:tcPr>
          <w:p w:rsidR="00615AB4" w:rsidRDefault="00615AB4" w:rsidP="00615AB4">
            <w:pPr>
              <w:pStyle w:val="ListParagraph"/>
              <w:numPr>
                <w:ilvl w:val="0"/>
                <w:numId w:val="11"/>
              </w:numPr>
              <w:ind w:left="233" w:hanging="233"/>
            </w:pPr>
            <w:r>
              <w:t xml:space="preserve">разходите за третирането са в пряка зависимост от количеството, </w:t>
            </w:r>
          </w:p>
          <w:p w:rsidR="00615AB4" w:rsidRDefault="00615AB4" w:rsidP="00615AB4">
            <w:pPr>
              <w:pStyle w:val="ListParagraph"/>
              <w:numPr>
                <w:ilvl w:val="0"/>
                <w:numId w:val="11"/>
              </w:numPr>
              <w:ind w:left="233" w:hanging="233"/>
            </w:pPr>
            <w:r>
              <w:t xml:space="preserve">справедливо се определя цената на услугата, </w:t>
            </w:r>
          </w:p>
          <w:p w:rsidR="00615AB4" w:rsidRDefault="00615AB4" w:rsidP="00615AB4">
            <w:pPr>
              <w:pStyle w:val="ListParagraph"/>
              <w:numPr>
                <w:ilvl w:val="0"/>
                <w:numId w:val="11"/>
              </w:numPr>
              <w:ind w:left="233" w:hanging="233"/>
            </w:pPr>
            <w:r>
              <w:t xml:space="preserve">стимулира намаляването на количеството отпадъци, </w:t>
            </w:r>
          </w:p>
          <w:p w:rsidR="00615AB4" w:rsidRDefault="00615AB4" w:rsidP="00615AB4">
            <w:pPr>
              <w:pStyle w:val="ListParagraph"/>
              <w:numPr>
                <w:ilvl w:val="0"/>
                <w:numId w:val="11"/>
              </w:numPr>
              <w:ind w:left="233" w:hanging="233"/>
            </w:pPr>
            <w:r>
              <w:t>стимулира разделното събиране и оползотворяване (битово компостиране)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12" w:space="0" w:color="2E74B5" w:themeColor="accent1" w:themeShade="BF"/>
            </w:tcBorders>
          </w:tcPr>
          <w:p w:rsidR="00615AB4" w:rsidRPr="00615AB4" w:rsidRDefault="00615AB4">
            <w:r w:rsidRPr="00615AB4">
              <w:t>невинаги може да има съответствие между вместимостта на съдовете и количеството отпадък, който се генерира, липса на контрол за ползване на съдовете само от замърсителя</w:t>
            </w:r>
          </w:p>
        </w:tc>
      </w:tr>
      <w:tr w:rsidR="00615AB4" w:rsidTr="00615AB4">
        <w:trPr>
          <w:jc w:val="center"/>
        </w:trPr>
        <w:tc>
          <w:tcPr>
            <w:tcW w:w="4820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</w:tcPr>
          <w:p w:rsidR="00615AB4" w:rsidRDefault="00615AB4">
            <w:r w:rsidRPr="00615AB4">
              <w:t>в) брой ползватели на услугата в имота - брой на лицата с настоящ или постоянен адрес в имота, брой на заетите лица в предприятията на територията в съответното населено място;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</w:tcPr>
          <w:p w:rsidR="00615AB4" w:rsidRDefault="00615AB4"/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12" w:space="0" w:color="2E74B5" w:themeColor="accent1" w:themeShade="BF"/>
            </w:tcBorders>
          </w:tcPr>
          <w:p w:rsidR="00615AB4" w:rsidRDefault="00615AB4" w:rsidP="00615AB4">
            <w:pPr>
              <w:pStyle w:val="ListParagraph"/>
              <w:numPr>
                <w:ilvl w:val="0"/>
                <w:numId w:val="13"/>
              </w:numPr>
              <w:ind w:left="295" w:hanging="295"/>
            </w:pPr>
            <w:r>
              <w:t xml:space="preserve">трудно за администриране, </w:t>
            </w:r>
          </w:p>
          <w:p w:rsidR="00615AB4" w:rsidRDefault="00615AB4" w:rsidP="00615AB4">
            <w:pPr>
              <w:pStyle w:val="ListParagraph"/>
              <w:numPr>
                <w:ilvl w:val="0"/>
                <w:numId w:val="13"/>
              </w:numPr>
              <w:ind w:left="295" w:hanging="295"/>
            </w:pPr>
            <w:r>
              <w:t>в предприятията броя заети лица не е в пряка връзка с количеството,</w:t>
            </w:r>
          </w:p>
        </w:tc>
      </w:tr>
      <w:tr w:rsidR="00615AB4" w:rsidTr="00615AB4">
        <w:trPr>
          <w:jc w:val="center"/>
        </w:trPr>
        <w:tc>
          <w:tcPr>
            <w:tcW w:w="4820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</w:tcPr>
          <w:p w:rsidR="00615AB4" w:rsidRDefault="00615AB4">
            <w:r w:rsidRPr="00615AB4">
              <w:t>г) друг натурален показател: разгърната застроена и/или незастроена площ, използвано количество вода, изразходвана електрическа енергия;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</w:tcPr>
          <w:p w:rsidR="00615AB4" w:rsidRDefault="00615AB4"/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12" w:space="0" w:color="2E74B5" w:themeColor="accent1" w:themeShade="BF"/>
            </w:tcBorders>
          </w:tcPr>
          <w:p w:rsidR="00615AB4" w:rsidRDefault="00615AB4">
            <w:r w:rsidRPr="00615AB4">
              <w:t>Тези характеристики не са фактори за цената на третирането на отпадъци</w:t>
            </w:r>
          </w:p>
        </w:tc>
      </w:tr>
      <w:tr w:rsidR="00615AB4" w:rsidTr="00615AB4">
        <w:trPr>
          <w:jc w:val="center"/>
        </w:trPr>
        <w:tc>
          <w:tcPr>
            <w:tcW w:w="4820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</w:tcPr>
          <w:p w:rsidR="00615AB4" w:rsidRPr="00615AB4" w:rsidRDefault="00615AB4">
            <w:r w:rsidRPr="00615AB4">
              <w:t>д) данъчна оценка или отчетна стойност на недвижимите имоти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</w:tcPr>
          <w:p w:rsidR="00615AB4" w:rsidRDefault="00615AB4"/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12" w:space="0" w:color="2E74B5" w:themeColor="accent1" w:themeShade="BF"/>
            </w:tcBorders>
          </w:tcPr>
          <w:p w:rsidR="00615AB4" w:rsidRPr="00615AB4" w:rsidRDefault="00615AB4">
            <w:r w:rsidRPr="00615AB4">
              <w:t>данъчната оценка или отчетна стойност на имотите не влияят върху разходите за третиране</w:t>
            </w:r>
          </w:p>
        </w:tc>
      </w:tr>
      <w:tr w:rsidR="00615AB4" w:rsidRPr="00615AB4" w:rsidTr="00615AB4">
        <w:trPr>
          <w:jc w:val="center"/>
        </w:trPr>
        <w:tc>
          <w:tcPr>
            <w:tcW w:w="14742" w:type="dxa"/>
            <w:gridSpan w:val="3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615AB4" w:rsidRPr="00615AB4" w:rsidRDefault="00615AB4">
            <w:pPr>
              <w:rPr>
                <w:b/>
                <w:color w:val="FFFFFF" w:themeColor="background1"/>
                <w:sz w:val="24"/>
              </w:rPr>
            </w:pPr>
            <w:r w:rsidRPr="00615AB4">
              <w:rPr>
                <w:b/>
                <w:color w:val="FFFFFF" w:themeColor="background1"/>
                <w:sz w:val="24"/>
              </w:rPr>
              <w:t>3. За услугата по поддържане на чистотата на териториите за обществено ползване в населените места:</w:t>
            </w:r>
          </w:p>
        </w:tc>
      </w:tr>
      <w:tr w:rsidR="00615AB4" w:rsidTr="00615AB4">
        <w:trPr>
          <w:jc w:val="center"/>
        </w:trPr>
        <w:tc>
          <w:tcPr>
            <w:tcW w:w="4820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</w:tcPr>
          <w:p w:rsidR="00615AB4" w:rsidRPr="00615AB4" w:rsidRDefault="00615AB4">
            <w:r w:rsidRPr="00615AB4">
              <w:t>а) индивидуално измереното количество битови отпадъци за имота, от което е определена таксата за услугата по т. 1 или 2;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</w:tcPr>
          <w:p w:rsidR="00615AB4" w:rsidRDefault="00615AB4"/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12" w:space="0" w:color="2E74B5" w:themeColor="accent1" w:themeShade="BF"/>
            </w:tcBorders>
          </w:tcPr>
          <w:p w:rsidR="00615AB4" w:rsidRPr="00615AB4" w:rsidRDefault="00615AB4">
            <w:r w:rsidRPr="00615AB4">
              <w:t>няма логическа връзка</w:t>
            </w:r>
          </w:p>
        </w:tc>
      </w:tr>
      <w:tr w:rsidR="00615AB4" w:rsidTr="00615AB4">
        <w:trPr>
          <w:jc w:val="center"/>
        </w:trPr>
        <w:tc>
          <w:tcPr>
            <w:tcW w:w="4820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</w:tcPr>
          <w:p w:rsidR="00615AB4" w:rsidRPr="00615AB4" w:rsidRDefault="00615AB4">
            <w:r w:rsidRPr="00615AB4">
              <w:t>б) количеството битови отпадъци за имота, определено съобразно броя и вместимостта на необходимите съдове за събиране на битовите отпадъци, от което е определена таксата за услугата по т. 1 или 2;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</w:tcPr>
          <w:p w:rsidR="00615AB4" w:rsidRDefault="00615AB4"/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12" w:space="0" w:color="2E74B5" w:themeColor="accent1" w:themeShade="BF"/>
            </w:tcBorders>
          </w:tcPr>
          <w:p w:rsidR="00615AB4" w:rsidRPr="00615AB4" w:rsidRDefault="00615AB4">
            <w:r w:rsidRPr="00615AB4">
              <w:t>няма логическа връзка</w:t>
            </w:r>
          </w:p>
        </w:tc>
      </w:tr>
      <w:tr w:rsidR="00615AB4" w:rsidTr="00615AB4">
        <w:trPr>
          <w:jc w:val="center"/>
        </w:trPr>
        <w:tc>
          <w:tcPr>
            <w:tcW w:w="4820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</w:tcPr>
          <w:p w:rsidR="00615AB4" w:rsidRPr="00615AB4" w:rsidRDefault="00615AB4">
            <w:r w:rsidRPr="00615AB4">
              <w:t>в) брой ползватели на услугата в имота - брой на лицата с настоящ или постоянен адрес в имота, брой на заетите лица в предприятията на територията в съответното населено място;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</w:tcPr>
          <w:p w:rsidR="00615AB4" w:rsidRDefault="00615AB4"/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12" w:space="0" w:color="2E74B5" w:themeColor="accent1" w:themeShade="BF"/>
            </w:tcBorders>
          </w:tcPr>
          <w:p w:rsidR="00615AB4" w:rsidRPr="00615AB4" w:rsidRDefault="00615AB4">
            <w:r w:rsidRPr="00615AB4">
              <w:t>няма логическа връзка</w:t>
            </w:r>
          </w:p>
        </w:tc>
      </w:tr>
      <w:tr w:rsidR="00615AB4" w:rsidTr="00615AB4">
        <w:trPr>
          <w:jc w:val="center"/>
        </w:trPr>
        <w:tc>
          <w:tcPr>
            <w:tcW w:w="4820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4" w:space="0" w:color="2E74B5" w:themeColor="accent1" w:themeShade="BF"/>
            </w:tcBorders>
          </w:tcPr>
          <w:p w:rsidR="00615AB4" w:rsidRPr="00615AB4" w:rsidRDefault="00615AB4">
            <w:r w:rsidRPr="00615AB4">
              <w:t>г) друг натурален показател - разгърната застроена и/или незастроена площ, използвано количество вода, изразходвана електрическа енергия;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</w:tcPr>
          <w:p w:rsidR="00615AB4" w:rsidRDefault="00615AB4"/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12" w:space="0" w:color="2E74B5" w:themeColor="accent1" w:themeShade="BF"/>
            </w:tcBorders>
          </w:tcPr>
          <w:p w:rsidR="00615AB4" w:rsidRPr="00615AB4" w:rsidRDefault="00615AB4">
            <w:r w:rsidRPr="00615AB4">
              <w:t>няма логическа връзка</w:t>
            </w:r>
          </w:p>
        </w:tc>
      </w:tr>
      <w:tr w:rsidR="00615AB4" w:rsidTr="00615AB4">
        <w:trPr>
          <w:jc w:val="center"/>
        </w:trPr>
        <w:tc>
          <w:tcPr>
            <w:tcW w:w="4820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615AB4" w:rsidRPr="00615AB4" w:rsidRDefault="00615AB4">
            <w:r w:rsidRPr="00615AB4">
              <w:t>д) данъчна оценка или отчетна стойност на недвижимите имоти;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  <w:right w:val="single" w:sz="6" w:space="0" w:color="2E74B5" w:themeColor="accent1" w:themeShade="BF"/>
            </w:tcBorders>
          </w:tcPr>
          <w:p w:rsidR="00615AB4" w:rsidRDefault="00615AB4">
            <w:r w:rsidRPr="00615AB4">
              <w:t>Съществува връзка между данъчната оценка и поддържането на чистотата на териториите за обществено ползване</w:t>
            </w:r>
          </w:p>
        </w:tc>
        <w:tc>
          <w:tcPr>
            <w:tcW w:w="4961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615AB4" w:rsidRPr="00615AB4" w:rsidRDefault="00615AB4"/>
        </w:tc>
      </w:tr>
    </w:tbl>
    <w:p w:rsidR="00615AB4" w:rsidRDefault="00615AB4" w:rsidP="00615AB4"/>
    <w:sectPr w:rsidR="00615AB4" w:rsidSect="00615AB4">
      <w:footerReference w:type="default" r:id="rId7"/>
      <w:pgSz w:w="15840" w:h="12240" w:orient="landscape"/>
      <w:pgMar w:top="567" w:right="814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D28" w:rsidRDefault="004C6D28" w:rsidP="00615AB4">
      <w:pPr>
        <w:spacing w:after="0" w:line="240" w:lineRule="auto"/>
      </w:pPr>
      <w:r>
        <w:separator/>
      </w:r>
    </w:p>
  </w:endnote>
  <w:endnote w:type="continuationSeparator" w:id="0">
    <w:p w:rsidR="004C6D28" w:rsidRDefault="004C6D28" w:rsidP="0061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361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5AB4" w:rsidRDefault="00615A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5AB4" w:rsidRDefault="00615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D28" w:rsidRDefault="004C6D28" w:rsidP="00615AB4">
      <w:pPr>
        <w:spacing w:after="0" w:line="240" w:lineRule="auto"/>
      </w:pPr>
      <w:r>
        <w:separator/>
      </w:r>
    </w:p>
  </w:footnote>
  <w:footnote w:type="continuationSeparator" w:id="0">
    <w:p w:rsidR="004C6D28" w:rsidRDefault="004C6D28" w:rsidP="0061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1719"/>
    <w:multiLevelType w:val="hybridMultilevel"/>
    <w:tmpl w:val="4440BBE4"/>
    <w:lvl w:ilvl="0" w:tplc="0B46B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5737"/>
    <w:multiLevelType w:val="hybridMultilevel"/>
    <w:tmpl w:val="01E29C06"/>
    <w:lvl w:ilvl="0" w:tplc="0B46B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C4411"/>
    <w:multiLevelType w:val="hybridMultilevel"/>
    <w:tmpl w:val="DF6CE426"/>
    <w:lvl w:ilvl="0" w:tplc="0B46B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53250"/>
    <w:multiLevelType w:val="hybridMultilevel"/>
    <w:tmpl w:val="BC36D8A0"/>
    <w:lvl w:ilvl="0" w:tplc="0B46B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760A6"/>
    <w:multiLevelType w:val="hybridMultilevel"/>
    <w:tmpl w:val="F498FDD6"/>
    <w:lvl w:ilvl="0" w:tplc="0B46B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7069B"/>
    <w:multiLevelType w:val="hybridMultilevel"/>
    <w:tmpl w:val="48D0B1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C17AE"/>
    <w:multiLevelType w:val="hybridMultilevel"/>
    <w:tmpl w:val="EBC484AA"/>
    <w:lvl w:ilvl="0" w:tplc="0B46B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077CD"/>
    <w:multiLevelType w:val="hybridMultilevel"/>
    <w:tmpl w:val="972CE510"/>
    <w:lvl w:ilvl="0" w:tplc="0B46B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60E9D"/>
    <w:multiLevelType w:val="hybridMultilevel"/>
    <w:tmpl w:val="27A407C2"/>
    <w:lvl w:ilvl="0" w:tplc="0B46B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C535D"/>
    <w:multiLevelType w:val="hybridMultilevel"/>
    <w:tmpl w:val="A7FE2A3E"/>
    <w:lvl w:ilvl="0" w:tplc="0B46B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07BB8"/>
    <w:multiLevelType w:val="hybridMultilevel"/>
    <w:tmpl w:val="323C6D0E"/>
    <w:lvl w:ilvl="0" w:tplc="0B46B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F1F44"/>
    <w:multiLevelType w:val="hybridMultilevel"/>
    <w:tmpl w:val="389E57BC"/>
    <w:lvl w:ilvl="0" w:tplc="0B46B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E68B4"/>
    <w:multiLevelType w:val="hybridMultilevel"/>
    <w:tmpl w:val="EE6EAF98"/>
    <w:lvl w:ilvl="0" w:tplc="0B46B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B4"/>
    <w:rsid w:val="004C6D28"/>
    <w:rsid w:val="00615AB4"/>
    <w:rsid w:val="0070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4E0044-63C6-4E1E-BF2F-90AD4E09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A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B4"/>
  </w:style>
  <w:style w:type="paragraph" w:styleId="Footer">
    <w:name w:val="footer"/>
    <w:basedOn w:val="Normal"/>
    <w:link w:val="FooterChar"/>
    <w:uiPriority w:val="99"/>
    <w:unhideWhenUsed/>
    <w:rsid w:val="0061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717</Words>
  <Characters>4089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 Алашка</dc:creator>
  <cp:keywords/>
  <dc:description/>
  <cp:lastModifiedBy>Ани Алашка</cp:lastModifiedBy>
  <cp:revision>1</cp:revision>
  <dcterms:created xsi:type="dcterms:W3CDTF">2015-04-24T06:14:00Z</dcterms:created>
  <dcterms:modified xsi:type="dcterms:W3CDTF">2015-04-24T06:31:00Z</dcterms:modified>
</cp:coreProperties>
</file>